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caps/>
          <w:sz w:val="32"/>
          <w:szCs w:val="40"/>
        </w:rPr>
      </w:pPr>
      <w:r>
        <w:rPr>
          <w:rFonts w:ascii="Times New Roman" w:hAnsi="Times New Roman" w:eastAsia="黑体" w:cs="Times New Roman"/>
          <w:sz w:val="32"/>
          <w:szCs w:val="40"/>
        </w:rPr>
        <w:t>中国生理学会疼痛转化研究专业委员会2023年学术年会</w:t>
      </w:r>
    </w:p>
    <w:p>
      <w:pPr>
        <w:spacing w:line="360" w:lineRule="auto"/>
        <w:jc w:val="center"/>
        <w:rPr>
          <w:rFonts w:ascii="Times New Roman" w:hAnsi="Times New Roman" w:cs="Times New Roman"/>
          <w:sz w:val="28"/>
          <w:szCs w:val="28"/>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二</w:t>
      </w:r>
      <w:r>
        <w:rPr>
          <w:rFonts w:ascii="Times New Roman" w:hAnsi="Times New Roman" w:eastAsia="黑体" w:cs="Times New Roman"/>
          <w:sz w:val="32"/>
          <w:szCs w:val="40"/>
        </w:rPr>
        <w:t>轮通知）</w:t>
      </w:r>
    </w:p>
    <w:p>
      <w:pPr>
        <w:spacing w:line="360" w:lineRule="auto"/>
        <w:ind w:firstLine="480" w:firstLineChars="200"/>
        <w:rPr>
          <w:rFonts w:ascii="宋体" w:hAnsi="宋体" w:eastAsia="宋体" w:cs="宋体"/>
          <w:sz w:val="28"/>
          <w:szCs w:val="28"/>
        </w:rPr>
      </w:pPr>
      <w:r>
        <w:rPr>
          <w:rFonts w:hint="eastAsia" w:ascii="宋体" w:hAnsi="宋体" w:eastAsia="宋体" w:cs="宋体"/>
          <w:sz w:val="24"/>
          <w:szCs w:val="24"/>
        </w:rPr>
        <w:t>为进一步推动生理学领域疼痛与瘙痒的转化研究，促进该研究领域的扩展和交流，拓宽学术视野，中国生理学会疼痛转化研究专业委员会2023学术年会将于2023年10月11-13日在南通国际会议中心召开。会议将围绕疼痛和瘙痒的</w:t>
      </w:r>
      <w:bookmarkStart w:id="0" w:name="_Hlk136336781"/>
      <w:r>
        <w:rPr>
          <w:rFonts w:hint="eastAsia" w:ascii="宋体" w:hAnsi="宋体" w:eastAsia="宋体" w:cs="宋体"/>
          <w:sz w:val="24"/>
          <w:szCs w:val="24"/>
        </w:rPr>
        <w:t>神经免疫机制、神经环路机制以及生理病理功能等前沿进展进行交流</w:t>
      </w:r>
      <w:bookmarkEnd w:id="0"/>
      <w:r>
        <w:rPr>
          <w:rFonts w:hint="eastAsia" w:ascii="宋体" w:hAnsi="宋体" w:eastAsia="宋体" w:cs="宋体"/>
          <w:sz w:val="24"/>
          <w:szCs w:val="24"/>
        </w:rPr>
        <w:t>，探索新技术、新方法和新理论在疼痛和瘙痒研究中的应用。本次会议由中国生理学会疼痛转化专业委员会主办，南通大学、南通市医学会疼痛分会和南通大学附属医院承办。欢迎广大从事疼痛和瘙痒功能和机制研究的基础和临床研究人员相聚南通，探讨该领域的前沿进展，促进同行科学家间的交流和密切合作。</w:t>
      </w:r>
    </w:p>
    <w:p>
      <w:pPr>
        <w:pStyle w:val="12"/>
        <w:spacing w:line="360" w:lineRule="auto"/>
        <w:rPr>
          <w:rFonts w:hAnsi="宋体"/>
          <w:b/>
          <w:color w:val="auto"/>
          <w:sz w:val="28"/>
          <w:szCs w:val="28"/>
        </w:rPr>
      </w:pPr>
      <w:r>
        <w:rPr>
          <w:rFonts w:hint="eastAsia" w:hAnsi="宋体"/>
          <w:b/>
          <w:color w:val="auto"/>
          <w:sz w:val="28"/>
          <w:szCs w:val="28"/>
        </w:rPr>
        <w:t>一、组织单位</w:t>
      </w:r>
    </w:p>
    <w:p>
      <w:pPr>
        <w:pStyle w:val="12"/>
        <w:spacing w:line="360" w:lineRule="auto"/>
        <w:rPr>
          <w:rFonts w:hAnsi="宋体"/>
          <w:color w:val="auto"/>
          <w:sz w:val="24"/>
          <w:szCs w:val="24"/>
        </w:rPr>
      </w:pPr>
      <w:r>
        <w:rPr>
          <w:rFonts w:hint="eastAsia" w:hAnsi="宋体"/>
          <w:color w:val="auto"/>
          <w:sz w:val="24"/>
          <w:szCs w:val="24"/>
        </w:rPr>
        <w:t>主办：中国生理学会疼痛转化专业委员会</w:t>
      </w:r>
    </w:p>
    <w:p>
      <w:pPr>
        <w:pStyle w:val="12"/>
        <w:spacing w:line="360" w:lineRule="auto"/>
        <w:rPr>
          <w:rFonts w:hAnsi="宋体"/>
          <w:color w:val="auto"/>
          <w:sz w:val="24"/>
          <w:szCs w:val="24"/>
        </w:rPr>
      </w:pPr>
      <w:r>
        <w:rPr>
          <w:rFonts w:hint="eastAsia" w:hAnsi="宋体"/>
          <w:color w:val="auto"/>
          <w:sz w:val="24"/>
          <w:szCs w:val="24"/>
        </w:rPr>
        <w:t>承办：南通大学、南通市医学会疼痛学分会、南通大学附属医院</w:t>
      </w:r>
    </w:p>
    <w:p>
      <w:pPr>
        <w:pStyle w:val="12"/>
        <w:spacing w:line="360" w:lineRule="auto"/>
        <w:rPr>
          <w:rFonts w:hAnsi="宋体"/>
          <w:b/>
          <w:color w:val="auto"/>
          <w:sz w:val="28"/>
          <w:szCs w:val="28"/>
        </w:rPr>
      </w:pPr>
      <w:r>
        <w:rPr>
          <w:rFonts w:hint="eastAsia" w:hAnsi="宋体"/>
          <w:b/>
          <w:color w:val="auto"/>
          <w:sz w:val="28"/>
          <w:szCs w:val="28"/>
        </w:rPr>
        <w:t>二、组织机构</w:t>
      </w:r>
    </w:p>
    <w:p>
      <w:pPr>
        <w:pStyle w:val="12"/>
        <w:spacing w:line="360" w:lineRule="auto"/>
        <w:rPr>
          <w:rFonts w:hAnsi="宋体"/>
          <w:color w:val="auto"/>
          <w:sz w:val="24"/>
          <w:szCs w:val="24"/>
        </w:rPr>
      </w:pPr>
      <w:r>
        <w:rPr>
          <w:rFonts w:hint="eastAsia" w:hAnsi="宋体"/>
          <w:color w:val="auto"/>
          <w:sz w:val="24"/>
          <w:szCs w:val="24"/>
        </w:rPr>
        <w:t>名誉主席：陈军、张玉秋</w:t>
      </w:r>
    </w:p>
    <w:p>
      <w:pPr>
        <w:pStyle w:val="12"/>
        <w:spacing w:line="360" w:lineRule="auto"/>
        <w:rPr>
          <w:rFonts w:hAnsi="宋体"/>
          <w:color w:val="auto"/>
          <w:sz w:val="24"/>
          <w:szCs w:val="24"/>
        </w:rPr>
      </w:pPr>
      <w:r>
        <w:rPr>
          <w:rFonts w:hint="eastAsia" w:hAnsi="宋体"/>
          <w:color w:val="auto"/>
          <w:sz w:val="24"/>
          <w:szCs w:val="24"/>
        </w:rPr>
        <w:t>会议主席：高永静、武胜昔</w:t>
      </w:r>
    </w:p>
    <w:p>
      <w:pPr>
        <w:pStyle w:val="12"/>
        <w:spacing w:line="360" w:lineRule="auto"/>
        <w:rPr>
          <w:rFonts w:hAnsi="宋体"/>
          <w:color w:val="auto"/>
          <w:sz w:val="24"/>
          <w:szCs w:val="24"/>
        </w:rPr>
      </w:pPr>
      <w:r>
        <w:rPr>
          <w:rFonts w:hint="eastAsia" w:hAnsi="宋体"/>
          <w:color w:val="auto"/>
          <w:sz w:val="24"/>
          <w:szCs w:val="24"/>
        </w:rPr>
        <w:t>执行主席：高永静、曹汉忠、秦毅彬</w:t>
      </w:r>
    </w:p>
    <w:p>
      <w:pPr>
        <w:pStyle w:val="12"/>
        <w:spacing w:line="360" w:lineRule="auto"/>
        <w:rPr>
          <w:rFonts w:hAnsi="宋体"/>
          <w:color w:val="auto"/>
          <w:sz w:val="24"/>
          <w:szCs w:val="24"/>
        </w:rPr>
      </w:pPr>
      <w:r>
        <w:rPr>
          <w:rFonts w:hint="eastAsia" w:hAnsi="宋体"/>
          <w:color w:val="auto"/>
          <w:sz w:val="24"/>
          <w:szCs w:val="24"/>
        </w:rPr>
        <w:t>会议秘书长：刘通</w:t>
      </w:r>
    </w:p>
    <w:p>
      <w:pPr>
        <w:pStyle w:val="12"/>
        <w:spacing w:line="360" w:lineRule="auto"/>
        <w:jc w:val="both"/>
        <w:rPr>
          <w:rFonts w:hAnsi="宋体"/>
          <w:color w:val="auto"/>
          <w:sz w:val="24"/>
          <w:szCs w:val="24"/>
        </w:rPr>
      </w:pPr>
      <w:r>
        <w:rPr>
          <w:rFonts w:hint="eastAsia" w:hAnsi="宋体"/>
          <w:color w:val="auto"/>
          <w:sz w:val="24"/>
          <w:szCs w:val="24"/>
        </w:rPr>
        <w:t>学术委员会（排名不分先后）：白占涛、曹红、陈涛、陈春富、程龙珍、褚玉霞、邓梅春、丁罡、高永静、韩园、胡理、黄静、霍福权、吉永华、姜峰、蒋昌宇、蒋若天、李相尧、梁玲利、林春、刘通、刘阳、刘明刚、刘兴君、罗层、邱德来、宋学军、孙武平、谭智勇、陶金、涂毅恒、王云、王韵、王国年、王凯元、王彦青、王子龙、吴超然、吴小波、武胜昔、徐贞仲、许华、严敏、张玲、张瑛、张宇、张凡、张红星、张玉秋、张志军、翟明珠</w:t>
      </w:r>
    </w:p>
    <w:p>
      <w:pPr>
        <w:spacing w:line="360" w:lineRule="auto"/>
        <w:rPr>
          <w:rFonts w:ascii="宋体" w:hAnsi="宋体" w:eastAsia="宋体" w:cs="宋体"/>
          <w:kern w:val="0"/>
          <w:sz w:val="28"/>
          <w:szCs w:val="28"/>
        </w:rPr>
      </w:pPr>
      <w:r>
        <w:rPr>
          <w:rFonts w:hint="eastAsia" w:ascii="宋体" w:hAnsi="宋体" w:eastAsia="宋体" w:cs="宋体"/>
          <w:kern w:val="0"/>
          <w:sz w:val="24"/>
          <w:szCs w:val="24"/>
        </w:rPr>
        <w:t>组织委员会：刘通、周媛、赵林霞、张江涛、吴小波、卢焕俊、贺天珍、吴彬、周国坤、马灵杰、曹德利</w:t>
      </w:r>
    </w:p>
    <w:p>
      <w:pPr>
        <w:pStyle w:val="12"/>
        <w:spacing w:line="360" w:lineRule="auto"/>
        <w:rPr>
          <w:rFonts w:hAnsi="宋体"/>
          <w:b/>
          <w:color w:val="auto"/>
          <w:sz w:val="28"/>
          <w:szCs w:val="28"/>
        </w:rPr>
      </w:pPr>
      <w:r>
        <w:rPr>
          <w:rFonts w:hint="eastAsia" w:hAnsi="宋体"/>
          <w:b/>
          <w:color w:val="auto"/>
          <w:sz w:val="28"/>
          <w:szCs w:val="28"/>
        </w:rPr>
        <w:t>三、会议时间及地点</w:t>
      </w:r>
    </w:p>
    <w:p>
      <w:pPr>
        <w:pStyle w:val="12"/>
        <w:spacing w:line="360" w:lineRule="auto"/>
        <w:rPr>
          <w:rFonts w:hAnsi="宋体"/>
          <w:color w:val="auto"/>
          <w:sz w:val="24"/>
          <w:szCs w:val="24"/>
        </w:rPr>
      </w:pPr>
      <w:r>
        <w:rPr>
          <w:rFonts w:hint="eastAsia" w:hAnsi="宋体"/>
          <w:color w:val="auto"/>
          <w:sz w:val="24"/>
          <w:szCs w:val="24"/>
        </w:rPr>
        <w:t>时间：2023年10月11日-13日</w:t>
      </w:r>
    </w:p>
    <w:p>
      <w:pPr>
        <w:spacing w:line="360" w:lineRule="auto"/>
        <w:jc w:val="left"/>
        <w:rPr>
          <w:rFonts w:ascii="宋体" w:hAnsi="宋体" w:eastAsia="宋体" w:cs="宋体"/>
          <w:sz w:val="24"/>
          <w:szCs w:val="24"/>
        </w:rPr>
      </w:pPr>
      <w:r>
        <w:rPr>
          <w:rFonts w:hint="eastAsia" w:ascii="宋体" w:hAnsi="宋体" w:eastAsia="宋体" w:cs="宋体"/>
          <w:sz w:val="24"/>
          <w:szCs w:val="24"/>
        </w:rPr>
        <w:t>地点：南通国际会议中心（江苏省南通市崇川区兴通路99号）</w:t>
      </w:r>
    </w:p>
    <w:p>
      <w:pPr>
        <w:spacing w:line="360" w:lineRule="auto"/>
        <w:jc w:val="left"/>
        <w:rPr>
          <w:rFonts w:ascii="宋体" w:hAnsi="宋体" w:eastAsia="宋体" w:cs="宋体"/>
          <w:b/>
          <w:kern w:val="0"/>
          <w:sz w:val="28"/>
          <w:szCs w:val="28"/>
        </w:rPr>
      </w:pPr>
      <w:r>
        <w:rPr>
          <w:rFonts w:ascii="宋体" w:hAnsi="宋体" w:eastAsia="宋体" w:cs="宋体"/>
          <w:b/>
          <w:kern w:val="0"/>
          <w:sz w:val="28"/>
          <w:szCs w:val="28"/>
        </w:rPr>
        <w:t>四、参会专家</w:t>
      </w:r>
    </w:p>
    <w:p>
      <w:pPr>
        <w:spacing w:line="360" w:lineRule="auto"/>
        <w:rPr>
          <w:rFonts w:hAnsi="宋体"/>
          <w:b/>
          <w:color w:val="auto"/>
          <w:sz w:val="28"/>
          <w:szCs w:val="28"/>
        </w:rPr>
      </w:pPr>
      <w:r>
        <w:rPr>
          <w:rFonts w:ascii="宋体" w:hAnsi="宋体" w:eastAsia="宋体" w:cs="宋体"/>
          <w:sz w:val="24"/>
          <w:szCs w:val="24"/>
        </w:rPr>
        <w:t xml:space="preserve">Uhtaek Oh </w:t>
      </w:r>
      <w:r>
        <w:rPr>
          <w:rFonts w:hint="eastAsia" w:ascii="宋体" w:hAnsi="宋体" w:eastAsia="宋体" w:cs="宋体"/>
          <w:sz w:val="24"/>
          <w:szCs w:val="24"/>
        </w:rPr>
        <w:t>（韩国首尔大学）、纪如荣（美国杜克大学）</w:t>
      </w:r>
      <w:r>
        <w:rPr>
          <w:rFonts w:ascii="宋体" w:hAnsi="宋体" w:eastAsia="宋体" w:cs="宋体"/>
          <w:sz w:val="24"/>
          <w:szCs w:val="24"/>
        </w:rPr>
        <w:t>、</w:t>
      </w:r>
      <w:r>
        <w:rPr>
          <w:rFonts w:hint="eastAsia" w:ascii="宋体" w:hAnsi="宋体" w:eastAsia="宋体" w:cs="宋体"/>
          <w:sz w:val="24"/>
          <w:szCs w:val="24"/>
        </w:rPr>
        <w:t>孔健（美国麻省总医院）、</w:t>
      </w:r>
      <w:r>
        <w:rPr>
          <w:rFonts w:ascii="宋体" w:hAnsi="宋体" w:eastAsia="宋体" w:cs="宋体"/>
          <w:sz w:val="24"/>
          <w:szCs w:val="24"/>
        </w:rPr>
        <w:t>Yong Ho Kim</w:t>
      </w:r>
      <w:r>
        <w:rPr>
          <w:rFonts w:hint="eastAsia" w:ascii="宋体" w:hAnsi="宋体" w:eastAsia="宋体" w:cs="宋体"/>
          <w:sz w:val="24"/>
          <w:szCs w:val="24"/>
        </w:rPr>
        <w:t>（韩国嘉泉大学）</w:t>
      </w:r>
      <w:r>
        <w:rPr>
          <w:rFonts w:ascii="宋体" w:hAnsi="宋体" w:eastAsia="宋体" w:cs="宋体"/>
          <w:sz w:val="24"/>
          <w:szCs w:val="24"/>
        </w:rPr>
        <w:t>、</w:t>
      </w:r>
      <w:r>
        <w:rPr>
          <w:rFonts w:hint="eastAsia" w:ascii="宋体" w:hAnsi="宋体" w:eastAsia="宋体" w:cs="宋体"/>
          <w:sz w:val="24"/>
          <w:szCs w:val="24"/>
        </w:rPr>
        <w:t>曹汉忠、曹君利、陈军、陈涛、程龙珍、丁罡、董海龙、高永静、韩清见、黄静、黄长盛、胡霁、蒋昌宇、蒋若天、李凤仙、李相尧、林春、刘通、罗昕</w:t>
      </w:r>
      <w:r>
        <w:rPr>
          <w:rFonts w:ascii="宋体" w:hAnsi="宋体" w:eastAsia="宋体" w:cs="宋体"/>
          <w:sz w:val="24"/>
          <w:szCs w:val="24"/>
        </w:rPr>
        <w:t>、</w:t>
      </w:r>
      <w:r>
        <w:rPr>
          <w:rFonts w:hint="eastAsia" w:ascii="宋体" w:hAnsi="宋体" w:eastAsia="宋体" w:cs="宋体"/>
          <w:sz w:val="24"/>
          <w:szCs w:val="24"/>
        </w:rPr>
        <w:t>罗层、李昌林、宋学军、孙衍刚、谭炳恒、谭智勇、陶金、涂毅恒、王凯元、王韵、温永锐、武胜昔、信文君、徐广银、徐贞仲、张玉秋、张志军</w:t>
      </w:r>
    </w:p>
    <w:p>
      <w:pPr>
        <w:pStyle w:val="12"/>
        <w:spacing w:line="360" w:lineRule="auto"/>
        <w:rPr>
          <w:rFonts w:hAnsi="宋体"/>
          <w:b/>
          <w:color w:val="auto"/>
          <w:sz w:val="28"/>
          <w:szCs w:val="28"/>
        </w:rPr>
      </w:pPr>
      <w:r>
        <w:rPr>
          <w:rFonts w:hint="eastAsia" w:hAnsi="宋体"/>
          <w:b/>
          <w:color w:val="auto"/>
          <w:sz w:val="28"/>
          <w:szCs w:val="28"/>
        </w:rPr>
        <w:t>五、会议日程</w:t>
      </w:r>
    </w:p>
    <w:p>
      <w:pPr>
        <w:pStyle w:val="12"/>
        <w:spacing w:line="240" w:lineRule="auto"/>
        <w:jc w:val="center"/>
        <w:rPr>
          <w:rFonts w:hAnsi="宋体"/>
          <w:b/>
          <w:color w:val="auto"/>
          <w:sz w:val="28"/>
          <w:szCs w:val="28"/>
        </w:rPr>
      </w:pPr>
      <w:r>
        <w:rPr>
          <w:rFonts w:hint="eastAsia" w:ascii="Times New Roman" w:hAnsi="Times New Roman"/>
          <w:b/>
          <w:sz w:val="28"/>
          <w:szCs w:val="28"/>
        </w:rPr>
        <w:t>中国生理学会疼痛转化专业委员会2023年学术年会</w:t>
      </w:r>
    </w:p>
    <w:p>
      <w:pPr>
        <w:tabs>
          <w:tab w:val="left" w:pos="360"/>
        </w:tabs>
        <w:spacing w:line="240" w:lineRule="auto"/>
        <w:jc w:val="center"/>
        <w:rPr>
          <w:rFonts w:ascii="Times New Roman" w:hAnsi="Times New Roman"/>
          <w:sz w:val="24"/>
          <w:szCs w:val="24"/>
        </w:rPr>
      </w:pPr>
      <w:r>
        <w:rPr>
          <w:rFonts w:hint="eastAsia" w:ascii="Times New Roman" w:hAnsi="Times New Roman"/>
          <w:b/>
          <w:sz w:val="22"/>
          <w:szCs w:val="32"/>
        </w:rPr>
        <w:t>2023年10月12日-13日南通国际会议中心一楼103厅</w:t>
      </w:r>
    </w:p>
    <w:tbl>
      <w:tblPr>
        <w:tblStyle w:val="6"/>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4717"/>
        <w:gridCol w:w="1353"/>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tcPr>
          <w:p>
            <w:pPr>
              <w:spacing w:line="240" w:lineRule="auto"/>
              <w:jc w:val="center"/>
              <w:rPr>
                <w:rFonts w:ascii="Times New Roman" w:hAnsi="Times New Roman"/>
              </w:rPr>
            </w:pPr>
            <w:r>
              <w:rPr>
                <w:rFonts w:ascii="Times New Roman" w:hAnsi="Times New Roman"/>
              </w:rPr>
              <w:t>时间</w:t>
            </w:r>
          </w:p>
        </w:tc>
        <w:tc>
          <w:tcPr>
            <w:tcW w:w="5072" w:type="dxa"/>
          </w:tcPr>
          <w:p>
            <w:pPr>
              <w:spacing w:line="240" w:lineRule="auto"/>
              <w:rPr>
                <w:rFonts w:ascii="Times New Roman" w:hAnsi="Times New Roman"/>
                <w:szCs w:val="21"/>
              </w:rPr>
            </w:pPr>
            <w:r>
              <w:rPr>
                <w:rFonts w:ascii="Times New Roman" w:hAnsi="Times New Roman"/>
                <w:szCs w:val="21"/>
              </w:rPr>
              <w:t>内容安排</w:t>
            </w:r>
          </w:p>
        </w:tc>
        <w:tc>
          <w:tcPr>
            <w:tcW w:w="1416" w:type="dxa"/>
          </w:tcPr>
          <w:p>
            <w:pPr>
              <w:spacing w:line="240" w:lineRule="auto"/>
              <w:jc w:val="center"/>
              <w:rPr>
                <w:rFonts w:ascii="Times New Roman" w:hAnsi="Times New Roman"/>
              </w:rPr>
            </w:pPr>
            <w:r>
              <w:rPr>
                <w:rFonts w:ascii="Times New Roman" w:hAnsi="Times New Roman"/>
              </w:rPr>
              <w:t>报告人</w:t>
            </w:r>
          </w:p>
        </w:tc>
        <w:tc>
          <w:tcPr>
            <w:tcW w:w="1106" w:type="dxa"/>
          </w:tcPr>
          <w:p>
            <w:pPr>
              <w:spacing w:line="240" w:lineRule="auto"/>
              <w:jc w:val="center"/>
              <w:rPr>
                <w:rFonts w:ascii="Times New Roman" w:hAnsi="Times New Roman"/>
              </w:rPr>
            </w:pPr>
            <w:r>
              <w:rPr>
                <w:rFonts w:ascii="Times New Roman" w:hAnsi="Times New Roman"/>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59" w:type="dxa"/>
            <w:gridSpan w:val="4"/>
            <w:shd w:val="clear" w:color="auto" w:fill="F2DBDB"/>
          </w:tcPr>
          <w:p>
            <w:pPr>
              <w:spacing w:line="240" w:lineRule="auto"/>
              <w:jc w:val="center"/>
              <w:rPr>
                <w:rFonts w:ascii="Times New Roman" w:hAnsi="Times New Roman"/>
                <w:b/>
                <w:color w:val="C00000"/>
              </w:rPr>
            </w:pPr>
            <w:r>
              <w:rPr>
                <w:rFonts w:hint="eastAsia" w:ascii="Times New Roman" w:hAnsi="Times New Roman"/>
                <w:b/>
                <w:color w:val="C00000"/>
              </w:rPr>
              <w:t>12</w:t>
            </w:r>
            <w:r>
              <w:rPr>
                <w:rFonts w:ascii="Times New Roman" w:hAnsi="Times New Roman"/>
                <w:b/>
                <w:color w:val="C0000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8:</w:t>
            </w:r>
            <w:r>
              <w:rPr>
                <w:rFonts w:hint="eastAsia" w:ascii="Times New Roman" w:hAnsi="Times New Roman"/>
              </w:rPr>
              <w:t>3</w:t>
            </w:r>
            <w:r>
              <w:rPr>
                <w:rFonts w:ascii="Times New Roman" w:hAnsi="Times New Roman"/>
              </w:rPr>
              <w:t>0-</w:t>
            </w:r>
            <w:r>
              <w:rPr>
                <w:rFonts w:hint="eastAsia" w:ascii="Times New Roman" w:hAnsi="Times New Roman"/>
              </w:rPr>
              <w:t>9</w:t>
            </w:r>
            <w:r>
              <w:rPr>
                <w:rFonts w:ascii="Times New Roman" w:hAnsi="Times New Roman"/>
              </w:rPr>
              <w:t>:</w:t>
            </w:r>
            <w:r>
              <w:rPr>
                <w:rFonts w:hint="eastAsia" w:ascii="Times New Roman" w:hAnsi="Times New Roman"/>
              </w:rPr>
              <w:t>00</w:t>
            </w:r>
          </w:p>
        </w:tc>
        <w:tc>
          <w:tcPr>
            <w:tcW w:w="5072" w:type="dxa"/>
            <w:vAlign w:val="center"/>
          </w:tcPr>
          <w:p>
            <w:pPr>
              <w:spacing w:line="240" w:lineRule="auto"/>
              <w:rPr>
                <w:rFonts w:ascii="Times New Roman" w:hAnsi="Times New Roman"/>
                <w:szCs w:val="21"/>
              </w:rPr>
            </w:pPr>
            <w:r>
              <w:rPr>
                <w:rFonts w:ascii="Times New Roman" w:hAnsi="Times New Roman"/>
                <w:szCs w:val="21"/>
              </w:rPr>
              <w:t>开幕式</w:t>
            </w:r>
          </w:p>
        </w:tc>
        <w:tc>
          <w:tcPr>
            <w:tcW w:w="1416" w:type="dxa"/>
          </w:tcPr>
          <w:p>
            <w:pPr>
              <w:spacing w:line="240" w:lineRule="auto"/>
              <w:rPr>
                <w:rFonts w:ascii="Times New Roman" w:hAnsi="Times New Roman"/>
              </w:rPr>
            </w:pPr>
          </w:p>
        </w:tc>
        <w:tc>
          <w:tcPr>
            <w:tcW w:w="1106" w:type="dxa"/>
            <w:vAlign w:val="center"/>
          </w:tcPr>
          <w:p>
            <w:pPr>
              <w:spacing w:line="240" w:lineRule="auto"/>
              <w:jc w:val="center"/>
              <w:rPr>
                <w:rFonts w:ascii="Times New Roman" w:hAnsi="Times New Roman"/>
              </w:rPr>
            </w:pPr>
            <w:r>
              <w:rPr>
                <w:rFonts w:ascii="Times New Roman" w:hAnsi="Times New Roman"/>
              </w:rPr>
              <w:t>高永静</w:t>
            </w:r>
          </w:p>
          <w:p>
            <w:pPr>
              <w:spacing w:line="240" w:lineRule="auto"/>
              <w:jc w:val="center"/>
              <w:rPr>
                <w:rFonts w:ascii="Times New Roman" w:hAnsi="Times New Roman"/>
              </w:rPr>
            </w:pPr>
            <w:r>
              <w:rPr>
                <w:rFonts w:hint="eastAsia" w:ascii="Times New Roman" w:hAnsi="Times New Roman"/>
              </w:rPr>
              <w:t>曹汉忠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9:00-9:30</w:t>
            </w:r>
          </w:p>
        </w:tc>
        <w:tc>
          <w:tcPr>
            <w:tcW w:w="5072" w:type="dxa"/>
            <w:vAlign w:val="center"/>
          </w:tcPr>
          <w:p>
            <w:pPr>
              <w:spacing w:line="240" w:lineRule="auto"/>
              <w:rPr>
                <w:rFonts w:ascii="Times New Roman" w:hAnsi="Times New Roman"/>
              </w:rPr>
            </w:pPr>
            <w:r>
              <w:rPr>
                <w:rFonts w:ascii="Times New Roman" w:hAnsi="Times New Roman"/>
              </w:rPr>
              <w:t>A novel mechanosensitive channel with slow inactivation kinetics,</w:t>
            </w:r>
          </w:p>
          <w:p>
            <w:pPr>
              <w:spacing w:line="240" w:lineRule="auto"/>
              <w:rPr>
                <w:rFonts w:ascii="Times New Roman" w:hAnsi="Times New Roman"/>
              </w:rPr>
            </w:pPr>
            <w:r>
              <w:rPr>
                <w:rFonts w:ascii="Times New Roman" w:hAnsi="Times New Roman"/>
              </w:rPr>
              <w:t>Structure consideration and physiological functions</w:t>
            </w:r>
          </w:p>
        </w:tc>
        <w:tc>
          <w:tcPr>
            <w:tcW w:w="1416" w:type="dxa"/>
          </w:tcPr>
          <w:p>
            <w:pPr>
              <w:spacing w:line="240" w:lineRule="auto"/>
              <w:jc w:val="center"/>
              <w:rPr>
                <w:rFonts w:ascii="Times New Roman" w:hAnsi="Times New Roman"/>
              </w:rPr>
            </w:pPr>
            <w:r>
              <w:rPr>
                <w:rFonts w:ascii="Times New Roman" w:hAnsi="Times New Roman"/>
              </w:rPr>
              <w:t>Uhtaek</w:t>
            </w:r>
            <w:r>
              <w:rPr>
                <w:rFonts w:hint="eastAsia" w:ascii="Times New Roman" w:hAnsi="Times New Roman"/>
              </w:rPr>
              <w:t xml:space="preserve"> Oh</w:t>
            </w:r>
          </w:p>
        </w:tc>
        <w:tc>
          <w:tcPr>
            <w:tcW w:w="1106" w:type="dxa"/>
          </w:tcPr>
          <w:p>
            <w:pPr>
              <w:spacing w:line="240" w:lineRule="auto"/>
              <w:rPr>
                <w:rFonts w:ascii="Times New Roman" w:hAnsi="Times New Roman"/>
              </w:rPr>
            </w:pPr>
            <w:r>
              <w:rPr>
                <w:rFonts w:ascii="Times New Roman" w:hAnsi="Times New Roman"/>
              </w:rPr>
              <w:t>陈</w:t>
            </w:r>
            <w:r>
              <w:rPr>
                <w:rFonts w:hint="eastAsia" w:ascii="Times New Roman" w:hAnsi="Times New Roman"/>
              </w:rPr>
              <w:t xml:space="preserve">  </w:t>
            </w:r>
            <w:r>
              <w:rPr>
                <w:rFonts w:ascii="Times New Roman" w:hAnsi="Times New Roman"/>
              </w:rPr>
              <w:t>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765" w:type="dxa"/>
            <w:vAlign w:val="center"/>
          </w:tcPr>
          <w:p>
            <w:pPr>
              <w:spacing w:line="240" w:lineRule="auto"/>
              <w:jc w:val="left"/>
              <w:rPr>
                <w:rFonts w:ascii="Times New Roman" w:hAnsi="Times New Roman"/>
              </w:rPr>
            </w:pPr>
            <w:r>
              <w:rPr>
                <w:rFonts w:ascii="Times New Roman" w:hAnsi="Times New Roman"/>
              </w:rPr>
              <w:t>9:</w:t>
            </w:r>
            <w:r>
              <w:rPr>
                <w:rFonts w:hint="eastAsia" w:ascii="Times New Roman" w:hAnsi="Times New Roman"/>
              </w:rPr>
              <w:t>30</w:t>
            </w:r>
            <w:r>
              <w:rPr>
                <w:rFonts w:ascii="Times New Roman" w:hAnsi="Times New Roman"/>
              </w:rPr>
              <w:t>-</w:t>
            </w:r>
            <w:r>
              <w:rPr>
                <w:rFonts w:hint="eastAsia" w:ascii="Times New Roman" w:hAnsi="Times New Roman"/>
              </w:rPr>
              <w:t>10</w:t>
            </w:r>
            <w:r>
              <w:rPr>
                <w:rFonts w:ascii="Times New Roman" w:hAnsi="Times New Roman"/>
              </w:rPr>
              <w:t>:</w:t>
            </w:r>
            <w:r>
              <w:rPr>
                <w:rFonts w:hint="eastAsia" w:ascii="Times New Roman" w:hAnsi="Times New Roman"/>
              </w:rPr>
              <w:t>00</w:t>
            </w:r>
          </w:p>
        </w:tc>
        <w:tc>
          <w:tcPr>
            <w:tcW w:w="5072" w:type="dxa"/>
            <w:vAlign w:val="center"/>
          </w:tcPr>
          <w:p>
            <w:pPr>
              <w:spacing w:line="240" w:lineRule="auto"/>
              <w:jc w:val="left"/>
              <w:rPr>
                <w:rFonts w:ascii="Times New Roman" w:hAnsi="Times New Roman"/>
              </w:rPr>
            </w:pPr>
            <w:r>
              <w:rPr>
                <w:rFonts w:ascii="Times New Roman" w:hAnsi="Times New Roman"/>
              </w:rPr>
              <w:t>Neuroimmune interactions in pain: mechanisms and therapeutics</w:t>
            </w:r>
          </w:p>
        </w:tc>
        <w:tc>
          <w:tcPr>
            <w:tcW w:w="1416" w:type="dxa"/>
            <w:vAlign w:val="center"/>
          </w:tcPr>
          <w:p>
            <w:pPr>
              <w:spacing w:line="240" w:lineRule="auto"/>
              <w:jc w:val="center"/>
              <w:rPr>
                <w:rFonts w:ascii="Times New Roman" w:hAnsi="Times New Roman"/>
              </w:rPr>
            </w:pPr>
            <w:r>
              <w:rPr>
                <w:rFonts w:ascii="Times New Roman" w:hAnsi="Times New Roman"/>
              </w:rPr>
              <w:t>纪如荣</w:t>
            </w:r>
          </w:p>
        </w:tc>
        <w:tc>
          <w:tcPr>
            <w:tcW w:w="1106" w:type="dxa"/>
            <w:vAlign w:val="center"/>
          </w:tcPr>
          <w:p>
            <w:pPr>
              <w:spacing w:line="240" w:lineRule="auto"/>
              <w:ind w:firstLine="105" w:firstLineChars="50"/>
              <w:jc w:val="center"/>
              <w:rPr>
                <w:rFonts w:ascii="Times New Roman" w:hAnsi="Times New Roman"/>
              </w:rPr>
            </w:pPr>
            <w:r>
              <w:rPr>
                <w:rFonts w:ascii="Times New Roman" w:hAnsi="Times New Roman"/>
              </w:rPr>
              <w:t>张玉秋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765" w:type="dxa"/>
            <w:vAlign w:val="center"/>
          </w:tcPr>
          <w:p>
            <w:pPr>
              <w:spacing w:line="240" w:lineRule="auto"/>
              <w:jc w:val="left"/>
              <w:rPr>
                <w:rFonts w:ascii="Times New Roman" w:hAnsi="Times New Roman"/>
              </w:rPr>
            </w:pPr>
            <w:r>
              <w:rPr>
                <w:rFonts w:hint="eastAsia" w:ascii="Times New Roman" w:hAnsi="Times New Roman"/>
              </w:rPr>
              <w:t>10</w:t>
            </w:r>
            <w:r>
              <w:rPr>
                <w:rFonts w:ascii="Times New Roman" w:hAnsi="Times New Roman"/>
              </w:rPr>
              <w:t>:</w:t>
            </w:r>
            <w:r>
              <w:rPr>
                <w:rFonts w:hint="eastAsia" w:ascii="Times New Roman" w:hAnsi="Times New Roman"/>
              </w:rPr>
              <w:t>00</w:t>
            </w:r>
            <w:r>
              <w:rPr>
                <w:rFonts w:ascii="Times New Roman" w:hAnsi="Times New Roman"/>
              </w:rPr>
              <w:t>-10:</w:t>
            </w:r>
            <w:r>
              <w:rPr>
                <w:rFonts w:hint="eastAsia" w:ascii="Times New Roman" w:hAnsi="Times New Roman"/>
              </w:rPr>
              <w:t>30</w:t>
            </w:r>
          </w:p>
        </w:tc>
        <w:tc>
          <w:tcPr>
            <w:tcW w:w="5072" w:type="dxa"/>
            <w:vAlign w:val="center"/>
          </w:tcPr>
          <w:p>
            <w:pPr>
              <w:spacing w:line="240" w:lineRule="auto"/>
              <w:jc w:val="left"/>
              <w:rPr>
                <w:rFonts w:ascii="Times New Roman" w:hAnsi="Times New Roman"/>
              </w:rPr>
            </w:pPr>
            <w:r>
              <w:rPr>
                <w:rFonts w:ascii="Times New Roman" w:hAnsi="Times New Roman"/>
              </w:rPr>
              <w:t>Brain circuits involved in mind-body approach for the management of chronic pain</w:t>
            </w:r>
          </w:p>
        </w:tc>
        <w:tc>
          <w:tcPr>
            <w:tcW w:w="1416" w:type="dxa"/>
            <w:vAlign w:val="center"/>
          </w:tcPr>
          <w:p>
            <w:pPr>
              <w:spacing w:line="240" w:lineRule="auto"/>
              <w:jc w:val="center"/>
              <w:rPr>
                <w:rFonts w:ascii="Times New Roman" w:hAnsi="Times New Roman"/>
              </w:rPr>
            </w:pPr>
            <w:r>
              <w:rPr>
                <w:rFonts w:hint="eastAsia" w:ascii="Times New Roman" w:hAnsi="Times New Roman"/>
              </w:rPr>
              <w:t>孔  健</w:t>
            </w:r>
          </w:p>
        </w:tc>
        <w:tc>
          <w:tcPr>
            <w:tcW w:w="1106" w:type="dxa"/>
          </w:tcPr>
          <w:p>
            <w:pPr>
              <w:spacing w:line="240" w:lineRule="auto"/>
              <w:rPr>
                <w:rFonts w:ascii="Times New Roman" w:hAnsi="Times New Roman"/>
              </w:rPr>
            </w:pPr>
            <w:r>
              <w:rPr>
                <w:rFonts w:hint="eastAsia" w:ascii="Times New Roman" w:hAnsi="Times New Roman"/>
              </w:rPr>
              <w:t xml:space="preserve">  王  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8359" w:type="dxa"/>
            <w:gridSpan w:val="4"/>
            <w:vAlign w:val="center"/>
          </w:tcPr>
          <w:p>
            <w:pPr>
              <w:spacing w:line="240" w:lineRule="auto"/>
              <w:jc w:val="center"/>
              <w:rPr>
                <w:rFonts w:ascii="Times New Roman" w:hAnsi="Times New Roman"/>
              </w:rPr>
            </w:pPr>
            <w:r>
              <w:rPr>
                <w:rFonts w:ascii="Times New Roman" w:hAnsi="Times New Roman"/>
              </w:rPr>
              <w:t>合影</w:t>
            </w:r>
            <w:r>
              <w:rPr>
                <w:rFonts w:hint="eastAsia" w:ascii="Times New Roman" w:hAnsi="Times New Roman"/>
              </w:rPr>
              <w:t>、</w:t>
            </w:r>
            <w:r>
              <w:rPr>
                <w:rFonts w:ascii="Times New Roman" w:hAnsi="Times New Roman"/>
              </w:rPr>
              <w:t>茶歇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10:</w:t>
            </w:r>
            <w:r>
              <w:rPr>
                <w:rFonts w:hint="eastAsia" w:ascii="Times New Roman" w:hAnsi="Times New Roman"/>
              </w:rPr>
              <w:t>45</w:t>
            </w: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15</w:t>
            </w:r>
          </w:p>
        </w:tc>
        <w:tc>
          <w:tcPr>
            <w:tcW w:w="5072" w:type="dxa"/>
            <w:vAlign w:val="center"/>
          </w:tcPr>
          <w:p>
            <w:pPr>
              <w:spacing w:line="240" w:lineRule="auto"/>
              <w:jc w:val="left"/>
              <w:rPr>
                <w:rFonts w:ascii="Times New Roman" w:hAnsi="Times New Roman"/>
                <w:szCs w:val="21"/>
              </w:rPr>
            </w:pPr>
            <w:r>
              <w:rPr>
                <w:rFonts w:hint="eastAsia" w:ascii="Times New Roman" w:hAnsi="Times New Roman"/>
                <w:szCs w:val="21"/>
              </w:rPr>
              <w:t>慢性疼痛相关记忆损伤及其机制</w:t>
            </w:r>
          </w:p>
        </w:tc>
        <w:tc>
          <w:tcPr>
            <w:tcW w:w="1416" w:type="dxa"/>
            <w:vAlign w:val="center"/>
          </w:tcPr>
          <w:p>
            <w:pPr>
              <w:spacing w:line="240" w:lineRule="auto"/>
              <w:jc w:val="center"/>
              <w:rPr>
                <w:rFonts w:ascii="Times New Roman" w:hAnsi="Times New Roman"/>
              </w:rPr>
            </w:pPr>
            <w:r>
              <w:rPr>
                <w:rFonts w:ascii="Times New Roman" w:hAnsi="Times New Roman"/>
              </w:rPr>
              <w:t>曹君利</w:t>
            </w:r>
          </w:p>
        </w:tc>
        <w:tc>
          <w:tcPr>
            <w:tcW w:w="1106" w:type="dxa"/>
            <w:vAlign w:val="center"/>
          </w:tcPr>
          <w:p>
            <w:pPr>
              <w:spacing w:line="240" w:lineRule="auto"/>
              <w:ind w:firstLine="105" w:firstLineChars="50"/>
              <w:jc w:val="center"/>
              <w:rPr>
                <w:rFonts w:ascii="Times New Roman" w:hAnsi="Times New Roman"/>
              </w:rPr>
            </w:pPr>
            <w:r>
              <w:rPr>
                <w:rFonts w:ascii="Times New Roman" w:hAnsi="Times New Roman"/>
              </w:rPr>
              <w:t>徐广银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15</w:t>
            </w:r>
            <w:r>
              <w:rPr>
                <w:rFonts w:ascii="Times New Roman" w:hAnsi="Times New Roman"/>
              </w:rPr>
              <w:t>-11:</w:t>
            </w:r>
            <w:r>
              <w:rPr>
                <w:rFonts w:hint="eastAsia" w:ascii="Times New Roman" w:hAnsi="Times New Roman"/>
              </w:rPr>
              <w:t>45</w:t>
            </w:r>
          </w:p>
        </w:tc>
        <w:tc>
          <w:tcPr>
            <w:tcW w:w="5072" w:type="dxa"/>
            <w:vAlign w:val="center"/>
          </w:tcPr>
          <w:p>
            <w:pPr>
              <w:spacing w:line="240" w:lineRule="auto"/>
              <w:jc w:val="left"/>
              <w:rPr>
                <w:rFonts w:ascii="Times New Roman" w:hAnsi="Times New Roman"/>
                <w:szCs w:val="21"/>
              </w:rPr>
            </w:pPr>
            <w:r>
              <w:rPr>
                <w:rFonts w:hint="eastAsia" w:ascii="Times New Roman" w:hAnsi="Times New Roman"/>
                <w:szCs w:val="21"/>
              </w:rPr>
              <w:t>麻醉与意识的神经机制探秘</w:t>
            </w:r>
          </w:p>
        </w:tc>
        <w:tc>
          <w:tcPr>
            <w:tcW w:w="1416" w:type="dxa"/>
            <w:vAlign w:val="center"/>
          </w:tcPr>
          <w:p>
            <w:pPr>
              <w:spacing w:line="240" w:lineRule="auto"/>
              <w:jc w:val="center"/>
              <w:rPr>
                <w:rFonts w:ascii="Times New Roman" w:hAnsi="Times New Roman"/>
              </w:rPr>
            </w:pPr>
            <w:r>
              <w:rPr>
                <w:rFonts w:ascii="Times New Roman" w:hAnsi="Times New Roman"/>
              </w:rPr>
              <w:t>董海龙</w:t>
            </w:r>
          </w:p>
        </w:tc>
        <w:tc>
          <w:tcPr>
            <w:tcW w:w="1106" w:type="dxa"/>
          </w:tcPr>
          <w:p>
            <w:pPr>
              <w:spacing w:line="240" w:lineRule="auto"/>
              <w:rPr>
                <w:rFonts w:ascii="Times New Roman" w:hAnsi="Times New Roman"/>
              </w:rPr>
            </w:pPr>
            <w:r>
              <w:rPr>
                <w:rFonts w:hint="eastAsia" w:ascii="Times New Roman" w:hAnsi="Times New Roman"/>
              </w:rPr>
              <w:t xml:space="preserve">  武胜昔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45</w:t>
            </w:r>
            <w:r>
              <w:rPr>
                <w:rFonts w:ascii="Times New Roman" w:hAnsi="Times New Roman"/>
              </w:rPr>
              <w:t>-1</w:t>
            </w:r>
            <w:r>
              <w:rPr>
                <w:rFonts w:hint="eastAsia" w:ascii="Times New Roman" w:hAnsi="Times New Roman"/>
              </w:rPr>
              <w:t>2</w:t>
            </w:r>
            <w:r>
              <w:rPr>
                <w:rFonts w:ascii="Times New Roman" w:hAnsi="Times New Roman"/>
              </w:rPr>
              <w:t>:</w:t>
            </w:r>
            <w:r>
              <w:rPr>
                <w:rFonts w:hint="eastAsia" w:ascii="Times New Roman" w:hAnsi="Times New Roman"/>
              </w:rPr>
              <w:t>15</w:t>
            </w:r>
          </w:p>
        </w:tc>
        <w:tc>
          <w:tcPr>
            <w:tcW w:w="5072" w:type="dxa"/>
            <w:vAlign w:val="center"/>
          </w:tcPr>
          <w:p>
            <w:pPr>
              <w:spacing w:line="240" w:lineRule="auto"/>
              <w:jc w:val="left"/>
              <w:rPr>
                <w:rFonts w:ascii="Times New Roman" w:hAnsi="Times New Roman"/>
                <w:szCs w:val="21"/>
              </w:rPr>
            </w:pPr>
            <w:r>
              <w:rPr>
                <w:rFonts w:ascii="Times New Roman" w:hAnsi="Times New Roman"/>
                <w:szCs w:val="21"/>
              </w:rPr>
              <w:t>Classification, spatial distribution and projectome of diverse spinal projection neurons</w:t>
            </w:r>
          </w:p>
        </w:tc>
        <w:tc>
          <w:tcPr>
            <w:tcW w:w="1416" w:type="dxa"/>
            <w:vAlign w:val="center"/>
          </w:tcPr>
          <w:p>
            <w:pPr>
              <w:spacing w:line="240" w:lineRule="auto"/>
              <w:jc w:val="center"/>
              <w:rPr>
                <w:rFonts w:ascii="Times New Roman" w:hAnsi="Times New Roman"/>
              </w:rPr>
            </w:pPr>
            <w:r>
              <w:rPr>
                <w:rFonts w:ascii="Times New Roman" w:hAnsi="Times New Roman"/>
              </w:rPr>
              <w:t>孙衍刚</w:t>
            </w:r>
          </w:p>
        </w:tc>
        <w:tc>
          <w:tcPr>
            <w:tcW w:w="1106" w:type="dxa"/>
            <w:vAlign w:val="center"/>
          </w:tcPr>
          <w:p>
            <w:pPr>
              <w:spacing w:line="240" w:lineRule="auto"/>
              <w:ind w:firstLine="105" w:firstLineChars="50"/>
              <w:jc w:val="center"/>
              <w:rPr>
                <w:rFonts w:ascii="Times New Roman" w:hAnsi="Times New Roman"/>
              </w:rPr>
            </w:pPr>
            <w:r>
              <w:rPr>
                <w:rFonts w:ascii="Times New Roman" w:hAnsi="Times New Roman"/>
              </w:rPr>
              <w:t>罗</w:t>
            </w:r>
            <w:r>
              <w:rPr>
                <w:rFonts w:hint="eastAsia" w:ascii="Times New Roman" w:hAnsi="Times New Roman"/>
              </w:rPr>
              <w:t xml:space="preserve">  </w:t>
            </w:r>
            <w:r>
              <w:rPr>
                <w:rFonts w:ascii="Times New Roman" w:hAnsi="Times New Roman"/>
              </w:rPr>
              <w:t>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8359" w:type="dxa"/>
            <w:gridSpan w:val="4"/>
            <w:shd w:val="clear" w:color="auto" w:fill="F2DBDB"/>
            <w:vAlign w:val="center"/>
          </w:tcPr>
          <w:p>
            <w:pPr>
              <w:spacing w:line="240" w:lineRule="auto"/>
              <w:jc w:val="center"/>
              <w:rPr>
                <w:rFonts w:ascii="Times New Roman" w:hAnsi="Times New Roman"/>
              </w:rPr>
            </w:pPr>
            <w:r>
              <w:rPr>
                <w:rFonts w:hint="eastAsia" w:ascii="Times New Roman" w:hAnsi="Times New Roman"/>
                <w:b/>
                <w:color w:val="C00000"/>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w:t>
            </w:r>
            <w:r>
              <w:rPr>
                <w:rFonts w:hint="eastAsia" w:ascii="Times New Roman" w:hAnsi="Times New Roman"/>
              </w:rPr>
              <w:t>4</w:t>
            </w:r>
            <w:r>
              <w:rPr>
                <w:rFonts w:ascii="Times New Roman" w:hAnsi="Times New Roman"/>
              </w:rPr>
              <w:t>:</w:t>
            </w:r>
            <w:r>
              <w:rPr>
                <w:rFonts w:hint="eastAsia" w:ascii="Times New Roman" w:hAnsi="Times New Roman"/>
              </w:rPr>
              <w:t>0</w:t>
            </w:r>
            <w:r>
              <w:rPr>
                <w:rFonts w:ascii="Times New Roman" w:hAnsi="Times New Roman"/>
              </w:rPr>
              <w:t>0-14:</w:t>
            </w:r>
            <w:r>
              <w:rPr>
                <w:rFonts w:hint="eastAsia" w:ascii="Times New Roman" w:hAnsi="Times New Roman"/>
              </w:rPr>
              <w:t>30</w:t>
            </w:r>
          </w:p>
        </w:tc>
        <w:tc>
          <w:tcPr>
            <w:tcW w:w="5072" w:type="dxa"/>
            <w:vAlign w:val="center"/>
          </w:tcPr>
          <w:p>
            <w:pPr>
              <w:spacing w:line="240" w:lineRule="auto"/>
              <w:jc w:val="left"/>
              <w:rPr>
                <w:rFonts w:ascii="Times New Roman" w:hAnsi="Times New Roman"/>
                <w:szCs w:val="21"/>
              </w:rPr>
            </w:pPr>
            <w:r>
              <w:rPr>
                <w:rFonts w:ascii="Times New Roman" w:hAnsi="Times New Roman"/>
                <w:szCs w:val="21"/>
              </w:rPr>
              <w:t>Representation and control of pain and itch by distinct neural ensembles in brain</w:t>
            </w:r>
          </w:p>
        </w:tc>
        <w:tc>
          <w:tcPr>
            <w:tcW w:w="1416" w:type="dxa"/>
            <w:vAlign w:val="center"/>
          </w:tcPr>
          <w:p>
            <w:pPr>
              <w:spacing w:line="240" w:lineRule="auto"/>
              <w:jc w:val="center"/>
              <w:rPr>
                <w:rFonts w:ascii="Times New Roman" w:hAnsi="Times New Roman"/>
              </w:rPr>
            </w:pPr>
            <w:r>
              <w:rPr>
                <w:rFonts w:ascii="Times New Roman" w:hAnsi="Times New Roman"/>
              </w:rPr>
              <w:t>胡</w:t>
            </w:r>
            <w:r>
              <w:rPr>
                <w:rFonts w:hint="eastAsia" w:ascii="Times New Roman" w:hAnsi="Times New Roman"/>
              </w:rPr>
              <w:t xml:space="preserve">  </w:t>
            </w:r>
            <w:r>
              <w:rPr>
                <w:rFonts w:ascii="Times New Roman" w:hAnsi="Times New Roman"/>
              </w:rPr>
              <w:t>霁</w:t>
            </w:r>
          </w:p>
        </w:tc>
        <w:tc>
          <w:tcPr>
            <w:tcW w:w="1106" w:type="dxa"/>
            <w:vMerge w:val="restart"/>
            <w:vAlign w:val="center"/>
          </w:tcPr>
          <w:p>
            <w:pPr>
              <w:spacing w:line="240" w:lineRule="auto"/>
              <w:ind w:firstLine="105" w:firstLineChars="50"/>
              <w:jc w:val="center"/>
              <w:rPr>
                <w:rFonts w:ascii="Times New Roman" w:hAnsi="Times New Roman"/>
              </w:rPr>
            </w:pPr>
            <w:r>
              <w:rPr>
                <w:rFonts w:hint="eastAsia" w:ascii="Times New Roman" w:hAnsi="Times New Roman"/>
              </w:rPr>
              <w:t>丁  罡</w:t>
            </w:r>
          </w:p>
          <w:p>
            <w:pPr>
              <w:spacing w:line="240" w:lineRule="auto"/>
              <w:ind w:firstLine="105" w:firstLineChars="50"/>
              <w:jc w:val="center"/>
              <w:rPr>
                <w:rFonts w:ascii="Times New Roman" w:hAnsi="Times New Roman"/>
              </w:rPr>
            </w:pPr>
            <w:r>
              <w:rPr>
                <w:rFonts w:hint="eastAsia" w:ascii="Times New Roman" w:hAnsi="Times New Roman"/>
              </w:rPr>
              <w:t>刘  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14:</w:t>
            </w:r>
            <w:r>
              <w:rPr>
                <w:rFonts w:hint="eastAsia" w:ascii="Times New Roman" w:hAnsi="Times New Roman"/>
              </w:rPr>
              <w:t>30</w:t>
            </w:r>
            <w:r>
              <w:rPr>
                <w:rFonts w:ascii="Times New Roman" w:hAnsi="Times New Roman"/>
              </w:rPr>
              <w:t>-14:</w:t>
            </w:r>
            <w:r>
              <w:rPr>
                <w:rFonts w:hint="eastAsia" w:ascii="Times New Roman" w:hAnsi="Times New Roman"/>
              </w:rPr>
              <w:t>55</w:t>
            </w:r>
          </w:p>
        </w:tc>
        <w:tc>
          <w:tcPr>
            <w:tcW w:w="5072" w:type="dxa"/>
            <w:vAlign w:val="center"/>
          </w:tcPr>
          <w:p>
            <w:pPr>
              <w:spacing w:line="240" w:lineRule="auto"/>
              <w:jc w:val="left"/>
              <w:rPr>
                <w:rFonts w:ascii="Times New Roman" w:hAnsi="Times New Roman"/>
              </w:rPr>
            </w:pPr>
            <w:r>
              <w:rPr>
                <w:rFonts w:ascii="Times New Roman" w:hAnsi="Times New Roman"/>
              </w:rPr>
              <w:t>痒觉的细胞特异性调控</w:t>
            </w:r>
          </w:p>
        </w:tc>
        <w:tc>
          <w:tcPr>
            <w:tcW w:w="1416" w:type="dxa"/>
            <w:vAlign w:val="center"/>
          </w:tcPr>
          <w:p>
            <w:pPr>
              <w:spacing w:line="240" w:lineRule="auto"/>
              <w:jc w:val="center"/>
              <w:rPr>
                <w:rFonts w:ascii="Times New Roman" w:hAnsi="Times New Roman"/>
              </w:rPr>
            </w:pPr>
            <w:r>
              <w:rPr>
                <w:rFonts w:ascii="Times New Roman" w:hAnsi="Times New Roman"/>
              </w:rPr>
              <w:t>黄</w:t>
            </w:r>
            <w:r>
              <w:rPr>
                <w:rFonts w:hint="eastAsia" w:ascii="Times New Roman" w:hAnsi="Times New Roman"/>
              </w:rPr>
              <w:t xml:space="preserve">  </w:t>
            </w:r>
            <w:r>
              <w:rPr>
                <w:rFonts w:ascii="Times New Roman" w:hAnsi="Times New Roman"/>
              </w:rPr>
              <w:t>静</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14:</w:t>
            </w:r>
            <w:r>
              <w:rPr>
                <w:rFonts w:hint="eastAsia" w:ascii="Times New Roman" w:hAnsi="Times New Roman"/>
              </w:rPr>
              <w:t>55</w:t>
            </w:r>
            <w:r>
              <w:rPr>
                <w:rFonts w:ascii="Times New Roman" w:hAnsi="Times New Roman"/>
              </w:rPr>
              <w:t>-1</w:t>
            </w:r>
            <w:r>
              <w:rPr>
                <w:rFonts w:hint="eastAsia" w:ascii="Times New Roman" w:hAnsi="Times New Roman"/>
              </w:rPr>
              <w:t>5</w:t>
            </w:r>
            <w:r>
              <w:rPr>
                <w:rFonts w:ascii="Times New Roman" w:hAnsi="Times New Roman"/>
              </w:rPr>
              <w:t>:</w:t>
            </w:r>
            <w:r>
              <w:rPr>
                <w:rFonts w:hint="eastAsia" w:ascii="Times New Roman" w:hAnsi="Times New Roman"/>
              </w:rPr>
              <w:t>20</w:t>
            </w:r>
          </w:p>
        </w:tc>
        <w:tc>
          <w:tcPr>
            <w:tcW w:w="5072" w:type="dxa"/>
            <w:vAlign w:val="center"/>
          </w:tcPr>
          <w:p>
            <w:pPr>
              <w:spacing w:line="240" w:lineRule="auto"/>
              <w:jc w:val="left"/>
              <w:rPr>
                <w:rFonts w:ascii="Times New Roman" w:hAnsi="Times New Roman"/>
                <w:szCs w:val="21"/>
              </w:rPr>
            </w:pPr>
            <w:r>
              <w:rPr>
                <w:rFonts w:hint="eastAsia"/>
              </w:rPr>
              <w:t>脊髓多巴胺下行通路调控痒觉的神经环路机制</w:t>
            </w:r>
          </w:p>
        </w:tc>
        <w:tc>
          <w:tcPr>
            <w:tcW w:w="1416" w:type="dxa"/>
            <w:vAlign w:val="center"/>
          </w:tcPr>
          <w:p>
            <w:pPr>
              <w:spacing w:line="240" w:lineRule="auto"/>
              <w:jc w:val="center"/>
              <w:rPr>
                <w:rFonts w:ascii="Times New Roman" w:hAnsi="Times New Roman"/>
              </w:rPr>
            </w:pPr>
            <w:r>
              <w:rPr>
                <w:rFonts w:ascii="Times New Roman" w:hAnsi="Times New Roman"/>
              </w:rPr>
              <w:t>张志军</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765" w:type="dxa"/>
            <w:vAlign w:val="center"/>
          </w:tcPr>
          <w:p>
            <w:pPr>
              <w:spacing w:line="240" w:lineRule="auto"/>
              <w:jc w:val="left"/>
              <w:rPr>
                <w:rFonts w:ascii="Times New Roman" w:hAnsi="Times New Roman"/>
                <w:szCs w:val="21"/>
              </w:rPr>
            </w:pPr>
            <w:r>
              <w:rPr>
                <w:rFonts w:ascii="Times New Roman" w:hAnsi="Times New Roman"/>
                <w:szCs w:val="21"/>
              </w:rPr>
              <w:t>1</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20</w:t>
            </w:r>
            <w:r>
              <w:rPr>
                <w:rFonts w:ascii="Times New Roman" w:hAnsi="Times New Roman"/>
                <w:szCs w:val="21"/>
              </w:rPr>
              <w:t>-15:</w:t>
            </w:r>
            <w:r>
              <w:rPr>
                <w:rFonts w:hint="eastAsia" w:ascii="Times New Roman" w:hAnsi="Times New Roman"/>
                <w:szCs w:val="21"/>
              </w:rPr>
              <w:t>45</w:t>
            </w:r>
          </w:p>
        </w:tc>
        <w:tc>
          <w:tcPr>
            <w:tcW w:w="5072" w:type="dxa"/>
            <w:vAlign w:val="center"/>
          </w:tcPr>
          <w:p>
            <w:pPr>
              <w:spacing w:line="240" w:lineRule="auto"/>
              <w:jc w:val="left"/>
            </w:pPr>
            <w:r>
              <w:rPr>
                <w:rFonts w:ascii="Times New Roman" w:hAnsi="Times New Roman"/>
              </w:rPr>
              <w:t>Zn</w:t>
            </w:r>
            <w:r>
              <w:rPr>
                <w:rFonts w:ascii="Times New Roman" w:hAnsi="Times New Roman"/>
                <w:vertAlign w:val="superscript"/>
              </w:rPr>
              <w:t>2+</w:t>
            </w:r>
            <w:r>
              <w:rPr>
                <w:rFonts w:hint="eastAsia"/>
              </w:rPr>
              <w:t>在慢性瘙痒中的功能和作用机制</w:t>
            </w:r>
          </w:p>
        </w:tc>
        <w:tc>
          <w:tcPr>
            <w:tcW w:w="1416" w:type="dxa"/>
            <w:vAlign w:val="center"/>
          </w:tcPr>
          <w:p>
            <w:pPr>
              <w:spacing w:line="240" w:lineRule="auto"/>
              <w:jc w:val="center"/>
              <w:rPr>
                <w:rFonts w:ascii="Times New Roman" w:hAnsi="Times New Roman"/>
              </w:rPr>
            </w:pPr>
            <w:r>
              <w:rPr>
                <w:rFonts w:ascii="Times New Roman" w:hAnsi="Times New Roman"/>
              </w:rPr>
              <w:t>韩清见</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765" w:type="dxa"/>
            <w:vAlign w:val="center"/>
          </w:tcPr>
          <w:p>
            <w:pPr>
              <w:spacing w:line="240" w:lineRule="auto"/>
              <w:jc w:val="left"/>
              <w:rPr>
                <w:rFonts w:ascii="Times New Roman" w:hAnsi="Times New Roman"/>
                <w:szCs w:val="21"/>
              </w:rPr>
            </w:pPr>
            <w:r>
              <w:rPr>
                <w:rFonts w:hint="eastAsia" w:ascii="Times New Roman" w:hAnsi="Times New Roman"/>
                <w:szCs w:val="21"/>
              </w:rPr>
              <w:t>15:45-16:10</w:t>
            </w:r>
          </w:p>
        </w:tc>
        <w:tc>
          <w:tcPr>
            <w:tcW w:w="5072" w:type="dxa"/>
            <w:vAlign w:val="center"/>
          </w:tcPr>
          <w:p>
            <w:pPr>
              <w:spacing w:line="240" w:lineRule="auto"/>
              <w:jc w:val="left"/>
              <w:rPr>
                <w:rFonts w:ascii="Times New Roman" w:hAnsi="Times New Roman"/>
              </w:rPr>
            </w:pPr>
            <w:r>
              <w:rPr>
                <w:rFonts w:hint="eastAsia" w:ascii="Times New Roman" w:hAnsi="Times New Roman"/>
              </w:rPr>
              <w:t>肾性瘙痒的神经免疫机制探索</w:t>
            </w:r>
          </w:p>
        </w:tc>
        <w:tc>
          <w:tcPr>
            <w:tcW w:w="1416" w:type="dxa"/>
            <w:vAlign w:val="center"/>
          </w:tcPr>
          <w:p>
            <w:pPr>
              <w:spacing w:line="240" w:lineRule="auto"/>
              <w:jc w:val="center"/>
              <w:rPr>
                <w:rFonts w:ascii="Times New Roman" w:hAnsi="Times New Roman"/>
              </w:rPr>
            </w:pPr>
            <w:r>
              <w:rPr>
                <w:rFonts w:ascii="Times New Roman" w:hAnsi="Times New Roman"/>
              </w:rPr>
              <w:t>李凤仙</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359" w:type="dxa"/>
            <w:gridSpan w:val="4"/>
            <w:shd w:val="clear" w:color="auto" w:fill="EAF1DD"/>
            <w:vAlign w:val="center"/>
          </w:tcPr>
          <w:p>
            <w:pPr>
              <w:spacing w:line="240" w:lineRule="auto"/>
              <w:jc w:val="center"/>
              <w:rPr>
                <w:rFonts w:ascii="Times New Roman" w:hAnsi="Times New Roman"/>
                <w:sz w:val="24"/>
                <w:szCs w:val="24"/>
              </w:rPr>
            </w:pPr>
            <w:r>
              <w:rPr>
                <w:rFonts w:ascii="Times New Roman" w:hAnsi="Times New Roman"/>
                <w:sz w:val="22"/>
                <w:szCs w:val="24"/>
              </w:rPr>
              <w:t>茶</w:t>
            </w:r>
            <w:r>
              <w:rPr>
                <w:rFonts w:hint="eastAsia" w:ascii="Times New Roman" w:hAnsi="Times New Roman"/>
                <w:sz w:val="22"/>
                <w:szCs w:val="24"/>
              </w:rPr>
              <w:t xml:space="preserve"> </w:t>
            </w:r>
            <w:r>
              <w:rPr>
                <w:rFonts w:ascii="Times New Roman" w:hAnsi="Times New Roman"/>
                <w:sz w:val="22"/>
                <w:szCs w:val="24"/>
              </w:rPr>
              <w:t>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16:25-16:50</w:t>
            </w:r>
          </w:p>
        </w:tc>
        <w:tc>
          <w:tcPr>
            <w:tcW w:w="5072" w:type="dxa"/>
            <w:vAlign w:val="center"/>
          </w:tcPr>
          <w:p>
            <w:pPr>
              <w:spacing w:line="240" w:lineRule="auto"/>
              <w:jc w:val="left"/>
              <w:rPr>
                <w:rFonts w:ascii="Times New Roman" w:hAnsi="Times New Roman"/>
              </w:rPr>
            </w:pPr>
            <w:r>
              <w:rPr>
                <w:rFonts w:ascii="Times New Roman" w:hAnsi="Times New Roman"/>
              </w:rPr>
              <w:t>Amyloid Beta 1-42 Modulates Heat Pain Sensitivity in Aged Mice Through TRPV1 Inhibition via the LRP1-SHP2 Pathway</w:t>
            </w:r>
          </w:p>
        </w:tc>
        <w:tc>
          <w:tcPr>
            <w:tcW w:w="1416" w:type="dxa"/>
            <w:vAlign w:val="center"/>
          </w:tcPr>
          <w:p>
            <w:pPr>
              <w:spacing w:line="240" w:lineRule="auto"/>
              <w:jc w:val="center"/>
              <w:rPr>
                <w:rFonts w:ascii="Times New Roman" w:hAnsi="Times New Roman"/>
              </w:rPr>
            </w:pPr>
            <w:r>
              <w:rPr>
                <w:rFonts w:hint="eastAsia" w:ascii="Times New Roman" w:hAnsi="Times New Roman"/>
              </w:rPr>
              <w:t xml:space="preserve">Yong Ho </w:t>
            </w:r>
            <w:r>
              <w:rPr>
                <w:rFonts w:ascii="Times New Roman" w:hAnsi="Times New Roman"/>
              </w:rPr>
              <w:t>Kim</w:t>
            </w:r>
          </w:p>
        </w:tc>
        <w:tc>
          <w:tcPr>
            <w:tcW w:w="1106" w:type="dxa"/>
            <w:vMerge w:val="restart"/>
            <w:vAlign w:val="center"/>
          </w:tcPr>
          <w:p>
            <w:pPr>
              <w:spacing w:line="240" w:lineRule="auto"/>
              <w:ind w:firstLine="105" w:firstLineChars="50"/>
              <w:jc w:val="center"/>
              <w:rPr>
                <w:rFonts w:ascii="Times New Roman" w:hAnsi="Times New Roman"/>
              </w:rPr>
            </w:pPr>
            <w:r>
              <w:rPr>
                <w:rFonts w:ascii="Times New Roman" w:hAnsi="Times New Roman"/>
              </w:rPr>
              <w:t>陶</w:t>
            </w:r>
            <w:r>
              <w:rPr>
                <w:rFonts w:hint="eastAsia" w:ascii="Times New Roman" w:hAnsi="Times New Roman"/>
              </w:rPr>
              <w:t xml:space="preserve">  </w:t>
            </w:r>
            <w:r>
              <w:rPr>
                <w:rFonts w:ascii="Times New Roman" w:hAnsi="Times New Roman"/>
              </w:rPr>
              <w:t>金</w:t>
            </w:r>
          </w:p>
          <w:p>
            <w:pPr>
              <w:spacing w:line="240" w:lineRule="auto"/>
              <w:ind w:firstLine="105" w:firstLineChars="50"/>
              <w:jc w:val="center"/>
              <w:rPr>
                <w:rFonts w:ascii="Times New Roman" w:hAnsi="Times New Roman"/>
              </w:rPr>
            </w:pPr>
            <w:r>
              <w:rPr>
                <w:rFonts w:ascii="Times New Roman" w:hAnsi="Times New Roman"/>
              </w:rPr>
              <w:t>蒋若天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16:50-17:</w:t>
            </w:r>
            <w:r>
              <w:rPr>
                <w:rFonts w:hint="eastAsia" w:ascii="Times New Roman" w:hAnsi="Times New Roman"/>
              </w:rPr>
              <w:t>1</w:t>
            </w:r>
            <w:r>
              <w:rPr>
                <w:rFonts w:ascii="Times New Roman" w:hAnsi="Times New Roman"/>
              </w:rPr>
              <w:t>5</w:t>
            </w:r>
          </w:p>
        </w:tc>
        <w:tc>
          <w:tcPr>
            <w:tcW w:w="5072" w:type="dxa"/>
            <w:vAlign w:val="center"/>
          </w:tcPr>
          <w:p>
            <w:pPr>
              <w:spacing w:line="240" w:lineRule="auto"/>
              <w:jc w:val="left"/>
              <w:rPr>
                <w:rFonts w:ascii="Times New Roman" w:hAnsi="Times New Roman"/>
                <w:szCs w:val="21"/>
              </w:rPr>
            </w:pPr>
            <w:r>
              <w:rPr>
                <w:rFonts w:ascii="Times New Roman" w:hAnsi="Times New Roman"/>
                <w:szCs w:val="21"/>
              </w:rPr>
              <w:t xml:space="preserve">The </w:t>
            </w:r>
            <w:r>
              <w:rPr>
                <w:rFonts w:hint="eastAsia" w:ascii="Times New Roman" w:hAnsi="Times New Roman"/>
                <w:szCs w:val="21"/>
              </w:rPr>
              <w:t>r</w:t>
            </w:r>
            <w:r>
              <w:rPr>
                <w:rFonts w:ascii="Times New Roman" w:hAnsi="Times New Roman"/>
                <w:szCs w:val="21"/>
              </w:rPr>
              <w:t xml:space="preserve">ole of </w:t>
            </w:r>
            <w:r>
              <w:rPr>
                <w:rFonts w:hint="eastAsia" w:ascii="Times New Roman" w:hAnsi="Times New Roman"/>
                <w:szCs w:val="21"/>
              </w:rPr>
              <w:t>t</w:t>
            </w:r>
            <w:r>
              <w:rPr>
                <w:rFonts w:ascii="Times New Roman" w:hAnsi="Times New Roman"/>
                <w:szCs w:val="21"/>
              </w:rPr>
              <w:t xml:space="preserve">ype I </w:t>
            </w:r>
            <w:r>
              <w:rPr>
                <w:rFonts w:hint="eastAsia" w:ascii="Times New Roman" w:hAnsi="Times New Roman"/>
                <w:szCs w:val="21"/>
              </w:rPr>
              <w:t>i</w:t>
            </w:r>
            <w:r>
              <w:rPr>
                <w:rFonts w:ascii="Times New Roman" w:hAnsi="Times New Roman"/>
                <w:szCs w:val="21"/>
              </w:rPr>
              <w:t xml:space="preserve">nterferon in </w:t>
            </w:r>
            <w:r>
              <w:rPr>
                <w:rFonts w:hint="eastAsia" w:ascii="Times New Roman" w:hAnsi="Times New Roman"/>
                <w:szCs w:val="21"/>
              </w:rPr>
              <w:t>p</w:t>
            </w:r>
            <w:r>
              <w:rPr>
                <w:rFonts w:ascii="Times New Roman" w:hAnsi="Times New Roman"/>
                <w:szCs w:val="21"/>
              </w:rPr>
              <w:t>ain, Covid-19, and neuropsychiatric disorders</w:t>
            </w:r>
          </w:p>
        </w:tc>
        <w:tc>
          <w:tcPr>
            <w:tcW w:w="1416" w:type="dxa"/>
            <w:vAlign w:val="center"/>
          </w:tcPr>
          <w:p>
            <w:pPr>
              <w:spacing w:line="240" w:lineRule="auto"/>
              <w:jc w:val="center"/>
              <w:rPr>
                <w:rFonts w:ascii="Times New Roman" w:hAnsi="Times New Roman"/>
              </w:rPr>
            </w:pPr>
            <w:r>
              <w:rPr>
                <w:rFonts w:hint="eastAsia" w:ascii="Times New Roman" w:hAnsi="Times New Roman"/>
              </w:rPr>
              <w:t>谭炳恒</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17:</w:t>
            </w:r>
            <w:r>
              <w:rPr>
                <w:rFonts w:hint="eastAsia" w:ascii="Times New Roman" w:hAnsi="Times New Roman"/>
              </w:rPr>
              <w:t>1</w:t>
            </w:r>
            <w:r>
              <w:rPr>
                <w:rFonts w:ascii="Times New Roman" w:hAnsi="Times New Roman"/>
              </w:rPr>
              <w:t>5-17:</w:t>
            </w:r>
            <w:r>
              <w:rPr>
                <w:rFonts w:hint="eastAsia" w:ascii="Times New Roman" w:hAnsi="Times New Roman"/>
              </w:rPr>
              <w:t>4</w:t>
            </w:r>
            <w:r>
              <w:rPr>
                <w:rFonts w:ascii="Times New Roman" w:hAnsi="Times New Roman"/>
              </w:rPr>
              <w:t>0</w:t>
            </w:r>
          </w:p>
        </w:tc>
        <w:tc>
          <w:tcPr>
            <w:tcW w:w="5072" w:type="dxa"/>
            <w:vAlign w:val="center"/>
          </w:tcPr>
          <w:p>
            <w:pPr>
              <w:spacing w:line="240" w:lineRule="auto"/>
              <w:jc w:val="left"/>
              <w:rPr>
                <w:rFonts w:ascii="Times New Roman" w:hAnsi="Times New Roman"/>
              </w:rPr>
            </w:pPr>
            <w:r>
              <w:rPr>
                <w:rFonts w:ascii="Times New Roman" w:hAnsi="Times New Roman"/>
              </w:rPr>
              <w:t>Synaptic plasticity in the cortex for the regulation of pain</w:t>
            </w:r>
          </w:p>
        </w:tc>
        <w:tc>
          <w:tcPr>
            <w:tcW w:w="1416" w:type="dxa"/>
            <w:vAlign w:val="center"/>
          </w:tcPr>
          <w:p>
            <w:pPr>
              <w:spacing w:line="240" w:lineRule="auto"/>
              <w:jc w:val="center"/>
              <w:rPr>
                <w:rFonts w:ascii="Times New Roman" w:hAnsi="Times New Roman"/>
              </w:rPr>
            </w:pPr>
            <w:r>
              <w:rPr>
                <w:rFonts w:ascii="Times New Roman" w:hAnsi="Times New Roman"/>
              </w:rPr>
              <w:t>陈</w:t>
            </w:r>
            <w:r>
              <w:rPr>
                <w:rFonts w:hint="eastAsia" w:ascii="Times New Roman" w:hAnsi="Times New Roman"/>
              </w:rPr>
              <w:t xml:space="preserve">  </w:t>
            </w:r>
            <w:r>
              <w:rPr>
                <w:rFonts w:ascii="Times New Roman" w:hAnsi="Times New Roman"/>
              </w:rPr>
              <w:t>涛</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17:40-18:05</w:t>
            </w:r>
          </w:p>
        </w:tc>
        <w:tc>
          <w:tcPr>
            <w:tcW w:w="5072" w:type="dxa"/>
            <w:vAlign w:val="center"/>
          </w:tcPr>
          <w:p>
            <w:pPr>
              <w:spacing w:line="240" w:lineRule="auto"/>
              <w:jc w:val="left"/>
              <w:rPr>
                <w:rFonts w:ascii="Times New Roman" w:hAnsi="Times New Roman"/>
              </w:rPr>
            </w:pPr>
            <w:r>
              <w:rPr>
                <w:rFonts w:hint="eastAsia" w:ascii="Times New Roman" w:hAnsi="Times New Roman"/>
              </w:rPr>
              <w:t>痛通路的表观调控机制</w:t>
            </w:r>
          </w:p>
        </w:tc>
        <w:tc>
          <w:tcPr>
            <w:tcW w:w="1416" w:type="dxa"/>
            <w:vAlign w:val="center"/>
          </w:tcPr>
          <w:p>
            <w:pPr>
              <w:spacing w:line="240" w:lineRule="auto"/>
              <w:jc w:val="center"/>
              <w:rPr>
                <w:rFonts w:ascii="Times New Roman" w:hAnsi="Times New Roman"/>
              </w:rPr>
            </w:pPr>
            <w:r>
              <w:rPr>
                <w:rFonts w:ascii="Times New Roman" w:hAnsi="Times New Roman"/>
              </w:rPr>
              <w:t>信文君</w:t>
            </w:r>
          </w:p>
        </w:tc>
        <w:tc>
          <w:tcPr>
            <w:tcW w:w="1106"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8359" w:type="dxa"/>
            <w:gridSpan w:val="4"/>
            <w:vAlign w:val="center"/>
          </w:tcPr>
          <w:p>
            <w:pPr>
              <w:spacing w:line="240" w:lineRule="auto"/>
              <w:jc w:val="center"/>
              <w:rPr>
                <w:rFonts w:ascii="Times New Roman" w:hAnsi="Times New Roman"/>
                <w:sz w:val="22"/>
                <w:szCs w:val="24"/>
              </w:rPr>
            </w:pPr>
            <w:r>
              <w:rPr>
                <w:rFonts w:ascii="Times New Roman" w:hAnsi="Times New Roman"/>
                <w:sz w:val="22"/>
                <w:szCs w:val="24"/>
              </w:rPr>
              <w:t>18:30-20:30</w:t>
            </w:r>
            <w:r>
              <w:rPr>
                <w:rFonts w:hint="eastAsia" w:ascii="Times New Roman" w:hAnsi="Times New Roman"/>
                <w:sz w:val="22"/>
                <w:szCs w:val="24"/>
              </w:rPr>
              <w:t xml:space="preserve"> </w:t>
            </w:r>
            <w:r>
              <w:rPr>
                <w:rFonts w:ascii="Times New Roman" w:hAnsi="Times New Roman"/>
                <w:sz w:val="22"/>
                <w:szCs w:val="24"/>
              </w:rPr>
              <w:t>晚餐</w:t>
            </w:r>
          </w:p>
        </w:tc>
      </w:tr>
    </w:tbl>
    <w:p>
      <w:pPr>
        <w:pStyle w:val="12"/>
        <w:spacing w:line="240" w:lineRule="auto"/>
        <w:ind w:firstLine="565" w:firstLineChars="202"/>
        <w:rPr>
          <w:rFonts w:hAnsi="宋体"/>
          <w:color w:val="auto"/>
          <w:sz w:val="28"/>
          <w:szCs w:val="28"/>
        </w:rPr>
      </w:pPr>
    </w:p>
    <w:tbl>
      <w:tblPr>
        <w:tblStyle w:val="6"/>
        <w:tblW w:w="83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4901"/>
        <w:gridCol w:w="1253"/>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73" w:type="dxa"/>
            <w:gridSpan w:val="4"/>
            <w:shd w:val="clear" w:color="auto" w:fill="F2DBDB"/>
          </w:tcPr>
          <w:p>
            <w:pPr>
              <w:spacing w:line="240" w:lineRule="auto"/>
              <w:jc w:val="center"/>
              <w:rPr>
                <w:rFonts w:ascii="Times New Roman" w:hAnsi="Times New Roman"/>
                <w:b/>
                <w:color w:val="C00000"/>
              </w:rPr>
            </w:pPr>
            <w:r>
              <w:rPr>
                <w:rFonts w:hint="eastAsia" w:ascii="Times New Roman" w:hAnsi="Times New Roman"/>
                <w:b/>
                <w:color w:val="C00000"/>
              </w:rPr>
              <w:t>13</w:t>
            </w:r>
            <w:r>
              <w:rPr>
                <w:rFonts w:ascii="Times New Roman" w:hAnsi="Times New Roman"/>
                <w:b/>
                <w:color w:val="C0000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8</w:t>
            </w:r>
            <w:r>
              <w:rPr>
                <w:rFonts w:ascii="Times New Roman" w:hAnsi="Times New Roman"/>
              </w:rPr>
              <w:t>:</w:t>
            </w:r>
            <w:r>
              <w:rPr>
                <w:rFonts w:hint="eastAsia" w:ascii="Times New Roman" w:hAnsi="Times New Roman"/>
              </w:rPr>
              <w:t>30</w:t>
            </w:r>
            <w:r>
              <w:rPr>
                <w:rFonts w:ascii="Times New Roman" w:hAnsi="Times New Roman"/>
              </w:rPr>
              <w:t>-</w:t>
            </w:r>
            <w:r>
              <w:rPr>
                <w:rFonts w:hint="eastAsia" w:ascii="Times New Roman" w:hAnsi="Times New Roman"/>
              </w:rPr>
              <w:t>8</w:t>
            </w:r>
            <w:r>
              <w:rPr>
                <w:rFonts w:ascii="Times New Roman" w:hAnsi="Times New Roman"/>
              </w:rPr>
              <w:t>:</w:t>
            </w:r>
            <w:r>
              <w:rPr>
                <w:rFonts w:hint="eastAsia" w:ascii="Times New Roman" w:hAnsi="Times New Roman"/>
              </w:rPr>
              <w:t>55</w:t>
            </w:r>
          </w:p>
        </w:tc>
        <w:tc>
          <w:tcPr>
            <w:tcW w:w="5247" w:type="dxa"/>
            <w:vAlign w:val="center"/>
          </w:tcPr>
          <w:p>
            <w:pPr>
              <w:spacing w:line="240" w:lineRule="auto"/>
              <w:jc w:val="left"/>
              <w:rPr>
                <w:rFonts w:ascii="Times New Roman" w:hAnsi="Times New Roman"/>
                <w:szCs w:val="21"/>
              </w:rPr>
            </w:pPr>
            <w:r>
              <w:rPr>
                <w:rFonts w:hint="eastAsia" w:ascii="Times New Roman" w:hAnsi="Times New Roman"/>
                <w:szCs w:val="21"/>
              </w:rPr>
              <w:t>海马CA1区circKcnk9在IBS慢性内脏痛中的作用</w:t>
            </w:r>
          </w:p>
        </w:tc>
        <w:tc>
          <w:tcPr>
            <w:tcW w:w="1339" w:type="dxa"/>
            <w:vAlign w:val="center"/>
          </w:tcPr>
          <w:p>
            <w:pPr>
              <w:spacing w:line="240" w:lineRule="auto"/>
              <w:jc w:val="center"/>
              <w:rPr>
                <w:rFonts w:ascii="Times New Roman" w:hAnsi="Times New Roman"/>
              </w:rPr>
            </w:pPr>
            <w:r>
              <w:rPr>
                <w:rFonts w:ascii="Times New Roman" w:hAnsi="Times New Roman"/>
              </w:rPr>
              <w:t>林</w:t>
            </w:r>
            <w:r>
              <w:rPr>
                <w:rFonts w:hint="eastAsia" w:ascii="Times New Roman" w:hAnsi="Times New Roman"/>
              </w:rPr>
              <w:t xml:space="preserve">  </w:t>
            </w:r>
            <w:r>
              <w:rPr>
                <w:rFonts w:ascii="Times New Roman" w:hAnsi="Times New Roman"/>
              </w:rPr>
              <w:t>春</w:t>
            </w:r>
          </w:p>
        </w:tc>
        <w:tc>
          <w:tcPr>
            <w:tcW w:w="1022" w:type="dxa"/>
            <w:vMerge w:val="restart"/>
            <w:vAlign w:val="center"/>
          </w:tcPr>
          <w:p>
            <w:pPr>
              <w:spacing w:line="240" w:lineRule="auto"/>
              <w:ind w:firstLine="105" w:firstLineChars="50"/>
              <w:jc w:val="center"/>
              <w:rPr>
                <w:rFonts w:ascii="Times New Roman" w:hAnsi="Times New Roman"/>
              </w:rPr>
            </w:pPr>
            <w:r>
              <w:rPr>
                <w:rFonts w:ascii="Times New Roman" w:hAnsi="Times New Roman"/>
              </w:rPr>
              <w:t>李昌林</w:t>
            </w:r>
          </w:p>
          <w:p>
            <w:pPr>
              <w:spacing w:line="240" w:lineRule="auto"/>
              <w:ind w:firstLine="105" w:firstLineChars="50"/>
              <w:jc w:val="center"/>
              <w:rPr>
                <w:rFonts w:ascii="Times New Roman" w:hAnsi="Times New Roman"/>
              </w:rPr>
            </w:pPr>
            <w:r>
              <w:rPr>
                <w:rFonts w:hint="eastAsia" w:ascii="Times New Roman" w:hAnsi="Times New Roman"/>
              </w:rPr>
              <w:t>涂毅恒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8</w:t>
            </w:r>
            <w:r>
              <w:rPr>
                <w:rFonts w:ascii="Times New Roman" w:hAnsi="Times New Roman"/>
              </w:rPr>
              <w:t>:</w:t>
            </w:r>
            <w:r>
              <w:rPr>
                <w:rFonts w:hint="eastAsia" w:ascii="Times New Roman" w:hAnsi="Times New Roman"/>
              </w:rPr>
              <w:t>55</w:t>
            </w:r>
            <w:r>
              <w:rPr>
                <w:rFonts w:ascii="Times New Roman" w:hAnsi="Times New Roman"/>
              </w:rPr>
              <w:t>-</w:t>
            </w:r>
            <w:r>
              <w:rPr>
                <w:rFonts w:hint="eastAsia" w:ascii="Times New Roman" w:hAnsi="Times New Roman"/>
              </w:rPr>
              <w:t>9:20</w:t>
            </w:r>
          </w:p>
        </w:tc>
        <w:tc>
          <w:tcPr>
            <w:tcW w:w="5247" w:type="dxa"/>
            <w:vAlign w:val="center"/>
          </w:tcPr>
          <w:p>
            <w:pPr>
              <w:spacing w:line="240" w:lineRule="auto"/>
              <w:jc w:val="left"/>
              <w:rPr>
                <w:rFonts w:ascii="Times New Roman" w:hAnsi="Times New Roman"/>
                <w:szCs w:val="21"/>
              </w:rPr>
            </w:pPr>
            <w:r>
              <w:rPr>
                <w:rFonts w:hint="eastAsia" w:ascii="Times New Roman" w:hAnsi="Times New Roman"/>
                <w:szCs w:val="21"/>
              </w:rPr>
              <w:t>少突胶质细胞参与调节帕金森病发病的机制研究</w:t>
            </w:r>
          </w:p>
        </w:tc>
        <w:tc>
          <w:tcPr>
            <w:tcW w:w="1339" w:type="dxa"/>
            <w:vAlign w:val="center"/>
          </w:tcPr>
          <w:p>
            <w:pPr>
              <w:spacing w:line="240" w:lineRule="auto"/>
              <w:jc w:val="center"/>
              <w:rPr>
                <w:rFonts w:ascii="Times New Roman" w:hAnsi="Times New Roman"/>
              </w:rPr>
            </w:pPr>
            <w:r>
              <w:rPr>
                <w:rFonts w:hint="eastAsia" w:ascii="Times New Roman" w:hAnsi="Times New Roman"/>
              </w:rPr>
              <w:t>徐贞仲</w:t>
            </w:r>
          </w:p>
        </w:tc>
        <w:tc>
          <w:tcPr>
            <w:tcW w:w="1022"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9</w:t>
            </w:r>
            <w:r>
              <w:rPr>
                <w:rFonts w:ascii="Times New Roman" w:hAnsi="Times New Roman"/>
              </w:rPr>
              <w:t>:</w:t>
            </w:r>
            <w:r>
              <w:rPr>
                <w:rFonts w:hint="eastAsia" w:ascii="Times New Roman" w:hAnsi="Times New Roman"/>
              </w:rPr>
              <w:t>20</w:t>
            </w:r>
            <w:r>
              <w:rPr>
                <w:rFonts w:ascii="Times New Roman" w:hAnsi="Times New Roman"/>
              </w:rPr>
              <w:t>-</w:t>
            </w:r>
            <w:r>
              <w:rPr>
                <w:rFonts w:hint="eastAsia" w:ascii="Times New Roman" w:hAnsi="Times New Roman"/>
              </w:rPr>
              <w:t>9</w:t>
            </w:r>
            <w:r>
              <w:rPr>
                <w:rFonts w:ascii="Times New Roman" w:hAnsi="Times New Roman"/>
              </w:rPr>
              <w:t>:</w:t>
            </w:r>
            <w:r>
              <w:rPr>
                <w:rFonts w:hint="eastAsia" w:ascii="Times New Roman" w:hAnsi="Times New Roman"/>
              </w:rPr>
              <w:t>45</w:t>
            </w:r>
          </w:p>
        </w:tc>
        <w:tc>
          <w:tcPr>
            <w:tcW w:w="5247" w:type="dxa"/>
            <w:vAlign w:val="center"/>
          </w:tcPr>
          <w:p>
            <w:pPr>
              <w:spacing w:line="240" w:lineRule="auto"/>
              <w:jc w:val="left"/>
              <w:rPr>
                <w:rFonts w:ascii="Times New Roman" w:hAnsi="Times New Roman"/>
                <w:szCs w:val="21"/>
              </w:rPr>
            </w:pPr>
            <w:r>
              <w:rPr>
                <w:rFonts w:hint="eastAsia" w:ascii="Times New Roman" w:hAnsi="Times New Roman"/>
                <w:szCs w:val="21"/>
              </w:rPr>
              <w:t>催产素及其受体在脊髓和DRG层面的镇痛作用和机制</w:t>
            </w:r>
          </w:p>
        </w:tc>
        <w:tc>
          <w:tcPr>
            <w:tcW w:w="1339" w:type="dxa"/>
            <w:vAlign w:val="center"/>
          </w:tcPr>
          <w:p>
            <w:pPr>
              <w:spacing w:line="240" w:lineRule="auto"/>
              <w:jc w:val="center"/>
              <w:rPr>
                <w:rFonts w:ascii="Times New Roman" w:hAnsi="Times New Roman"/>
              </w:rPr>
            </w:pPr>
            <w:r>
              <w:rPr>
                <w:rFonts w:ascii="Times New Roman" w:hAnsi="Times New Roman"/>
              </w:rPr>
              <w:t>蒋昌宇</w:t>
            </w:r>
          </w:p>
        </w:tc>
        <w:tc>
          <w:tcPr>
            <w:tcW w:w="1022"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765" w:type="dxa"/>
            <w:vAlign w:val="center"/>
          </w:tcPr>
          <w:p>
            <w:pPr>
              <w:spacing w:line="240" w:lineRule="auto"/>
              <w:jc w:val="left"/>
              <w:rPr>
                <w:rFonts w:ascii="Times New Roman" w:hAnsi="Times New Roman"/>
                <w:szCs w:val="21"/>
              </w:rPr>
            </w:pP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45</w:t>
            </w:r>
            <w:r>
              <w:rPr>
                <w:rFonts w:ascii="Times New Roman" w:hAnsi="Times New Roman"/>
                <w:szCs w:val="21"/>
              </w:rPr>
              <w:t>-</w:t>
            </w:r>
            <w:r>
              <w:rPr>
                <w:rFonts w:hint="eastAsia" w:ascii="Times New Roman" w:hAnsi="Times New Roman"/>
                <w:szCs w:val="21"/>
              </w:rPr>
              <w:t>10</w:t>
            </w:r>
            <w:r>
              <w:rPr>
                <w:rFonts w:ascii="Times New Roman" w:hAnsi="Times New Roman"/>
                <w:szCs w:val="21"/>
              </w:rPr>
              <w:t>:</w:t>
            </w:r>
            <w:r>
              <w:rPr>
                <w:rFonts w:hint="eastAsia" w:ascii="Times New Roman" w:hAnsi="Times New Roman"/>
                <w:szCs w:val="21"/>
              </w:rPr>
              <w:t>10</w:t>
            </w:r>
          </w:p>
        </w:tc>
        <w:tc>
          <w:tcPr>
            <w:tcW w:w="5247" w:type="dxa"/>
            <w:vAlign w:val="center"/>
          </w:tcPr>
          <w:p>
            <w:pPr>
              <w:spacing w:line="240" w:lineRule="auto"/>
              <w:jc w:val="left"/>
              <w:rPr>
                <w:rFonts w:ascii="Times New Roman" w:hAnsi="Times New Roman"/>
                <w:szCs w:val="21"/>
              </w:rPr>
            </w:pPr>
            <w:r>
              <w:rPr>
                <w:rFonts w:ascii="Times New Roman" w:hAnsi="Times New Roman"/>
              </w:rPr>
              <w:t>Crosstalk between sensory neurons and pancreatic ductal adenocarcinoma</w:t>
            </w:r>
          </w:p>
        </w:tc>
        <w:tc>
          <w:tcPr>
            <w:tcW w:w="1339" w:type="dxa"/>
            <w:vAlign w:val="center"/>
          </w:tcPr>
          <w:p>
            <w:pPr>
              <w:spacing w:line="240" w:lineRule="auto"/>
              <w:jc w:val="center"/>
              <w:rPr>
                <w:rFonts w:ascii="Times New Roman" w:hAnsi="Times New Roman"/>
              </w:rPr>
            </w:pPr>
            <w:r>
              <w:rPr>
                <w:rFonts w:ascii="Times New Roman" w:hAnsi="Times New Roman"/>
              </w:rPr>
              <w:t>王凯元</w:t>
            </w:r>
          </w:p>
        </w:tc>
        <w:tc>
          <w:tcPr>
            <w:tcW w:w="1022"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373" w:type="dxa"/>
            <w:gridSpan w:val="4"/>
            <w:shd w:val="clear" w:color="auto" w:fill="EAF1DD"/>
            <w:vAlign w:val="center"/>
          </w:tcPr>
          <w:p>
            <w:pPr>
              <w:spacing w:line="240" w:lineRule="auto"/>
              <w:jc w:val="center"/>
              <w:rPr>
                <w:rFonts w:ascii="Times New Roman" w:hAnsi="Times New Roman"/>
                <w:sz w:val="24"/>
                <w:szCs w:val="24"/>
              </w:rPr>
            </w:pPr>
            <w:r>
              <w:rPr>
                <w:rFonts w:hint="eastAsia" w:ascii="Times New Roman" w:hAnsi="Times New Roman"/>
                <w:szCs w:val="24"/>
              </w:rPr>
              <w:t>茶 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10:25</w:t>
            </w:r>
            <w:r>
              <w:rPr>
                <w:rFonts w:ascii="Times New Roman" w:hAnsi="Times New Roman"/>
              </w:rPr>
              <w:t>-</w:t>
            </w:r>
            <w:r>
              <w:rPr>
                <w:rFonts w:hint="eastAsia" w:ascii="Times New Roman" w:hAnsi="Times New Roman"/>
              </w:rPr>
              <w:t>10:50</w:t>
            </w:r>
          </w:p>
        </w:tc>
        <w:tc>
          <w:tcPr>
            <w:tcW w:w="5247" w:type="dxa"/>
            <w:vAlign w:val="center"/>
          </w:tcPr>
          <w:p>
            <w:pPr>
              <w:spacing w:line="240" w:lineRule="auto"/>
              <w:jc w:val="left"/>
              <w:rPr>
                <w:rFonts w:ascii="Times New Roman" w:hAnsi="Times New Roman"/>
                <w:szCs w:val="21"/>
              </w:rPr>
            </w:pPr>
            <w:r>
              <w:rPr>
                <w:rFonts w:ascii="Times New Roman" w:hAnsi="Times New Roman"/>
                <w:szCs w:val="21"/>
              </w:rPr>
              <w:t>What we know about the working mechanism of spinal cord stimulation</w:t>
            </w:r>
          </w:p>
        </w:tc>
        <w:tc>
          <w:tcPr>
            <w:tcW w:w="1339" w:type="dxa"/>
            <w:vAlign w:val="center"/>
          </w:tcPr>
          <w:p>
            <w:pPr>
              <w:spacing w:line="240" w:lineRule="auto"/>
              <w:jc w:val="center"/>
              <w:rPr>
                <w:rFonts w:ascii="Times New Roman" w:hAnsi="Times New Roman"/>
                <w:szCs w:val="21"/>
              </w:rPr>
            </w:pPr>
            <w:r>
              <w:rPr>
                <w:rFonts w:ascii="Times New Roman" w:hAnsi="Times New Roman"/>
              </w:rPr>
              <w:t>温永锐</w:t>
            </w:r>
          </w:p>
        </w:tc>
        <w:tc>
          <w:tcPr>
            <w:tcW w:w="1022" w:type="dxa"/>
            <w:vMerge w:val="restart"/>
            <w:vAlign w:val="center"/>
          </w:tcPr>
          <w:p>
            <w:pPr>
              <w:spacing w:line="240" w:lineRule="auto"/>
              <w:ind w:firstLine="105" w:firstLineChars="50"/>
              <w:jc w:val="center"/>
              <w:rPr>
                <w:rFonts w:ascii="Times New Roman" w:hAnsi="Times New Roman"/>
              </w:rPr>
            </w:pPr>
            <w:r>
              <w:rPr>
                <w:rFonts w:ascii="Times New Roman" w:hAnsi="Times New Roman"/>
              </w:rPr>
              <w:t>李相尧</w:t>
            </w:r>
          </w:p>
          <w:p>
            <w:pPr>
              <w:spacing w:line="240" w:lineRule="auto"/>
              <w:ind w:firstLine="105" w:firstLineChars="50"/>
              <w:jc w:val="center"/>
              <w:rPr>
                <w:rFonts w:ascii="Times New Roman" w:hAnsi="Times New Roman"/>
              </w:rPr>
            </w:pPr>
            <w:r>
              <w:rPr>
                <w:rFonts w:ascii="Times New Roman" w:hAnsi="Times New Roman"/>
              </w:rPr>
              <w:t>程龙珍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w:t>
            </w:r>
            <w:r>
              <w:rPr>
                <w:rFonts w:hint="eastAsia" w:ascii="Times New Roman" w:hAnsi="Times New Roman"/>
              </w:rPr>
              <w:t>0</w:t>
            </w:r>
            <w:r>
              <w:rPr>
                <w:rFonts w:ascii="Times New Roman" w:hAnsi="Times New Roman"/>
              </w:rPr>
              <w:t>:</w:t>
            </w:r>
            <w:r>
              <w:rPr>
                <w:rFonts w:hint="eastAsia" w:ascii="Times New Roman" w:hAnsi="Times New Roman"/>
              </w:rPr>
              <w:t>50</w:t>
            </w: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15</w:t>
            </w:r>
          </w:p>
        </w:tc>
        <w:tc>
          <w:tcPr>
            <w:tcW w:w="5247" w:type="dxa"/>
            <w:vAlign w:val="center"/>
          </w:tcPr>
          <w:p>
            <w:pPr>
              <w:spacing w:line="240" w:lineRule="auto"/>
              <w:jc w:val="left"/>
              <w:rPr>
                <w:rFonts w:ascii="Times New Roman" w:hAnsi="Times New Roman"/>
                <w:szCs w:val="21"/>
              </w:rPr>
            </w:pPr>
            <w:r>
              <w:rPr>
                <w:rFonts w:hint="eastAsia" w:ascii="Times New Roman" w:hAnsi="Times New Roman"/>
              </w:rPr>
              <w:t>预防性镇痛的临床实践及问题分析</w:t>
            </w:r>
          </w:p>
        </w:tc>
        <w:tc>
          <w:tcPr>
            <w:tcW w:w="1339" w:type="dxa"/>
            <w:vAlign w:val="center"/>
          </w:tcPr>
          <w:p>
            <w:pPr>
              <w:spacing w:line="240" w:lineRule="auto"/>
              <w:jc w:val="center"/>
              <w:rPr>
                <w:rFonts w:ascii="Times New Roman" w:hAnsi="Times New Roman"/>
              </w:rPr>
            </w:pPr>
            <w:r>
              <w:rPr>
                <w:rFonts w:hint="eastAsia" w:ascii="Times New Roman" w:hAnsi="Times New Roman"/>
              </w:rPr>
              <w:t>黄长盛</w:t>
            </w:r>
          </w:p>
        </w:tc>
        <w:tc>
          <w:tcPr>
            <w:tcW w:w="1022"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15</w:t>
            </w:r>
            <w:r>
              <w:rPr>
                <w:rFonts w:ascii="Times New Roman" w:hAnsi="Times New Roman"/>
              </w:rPr>
              <w:t>-1</w:t>
            </w:r>
            <w:r>
              <w:rPr>
                <w:rFonts w:hint="eastAsia" w:ascii="Times New Roman" w:hAnsi="Times New Roman"/>
              </w:rPr>
              <w:t>1</w:t>
            </w:r>
            <w:r>
              <w:rPr>
                <w:rFonts w:ascii="Times New Roman" w:hAnsi="Times New Roman"/>
              </w:rPr>
              <w:t>:</w:t>
            </w:r>
            <w:r>
              <w:rPr>
                <w:rFonts w:hint="eastAsia" w:ascii="Times New Roman" w:hAnsi="Times New Roman"/>
              </w:rPr>
              <w:t>40</w:t>
            </w:r>
          </w:p>
        </w:tc>
        <w:tc>
          <w:tcPr>
            <w:tcW w:w="5247" w:type="dxa"/>
            <w:vAlign w:val="center"/>
          </w:tcPr>
          <w:p>
            <w:pPr>
              <w:spacing w:line="240" w:lineRule="auto"/>
              <w:jc w:val="left"/>
              <w:rPr>
                <w:rFonts w:ascii="Times New Roman" w:hAnsi="Times New Roman"/>
              </w:rPr>
            </w:pPr>
            <w:r>
              <w:rPr>
                <w:rFonts w:hint="eastAsia" w:ascii="Times New Roman" w:hAnsi="Times New Roman"/>
              </w:rPr>
              <w:t>巨噬细胞维甲酸信号通路在子宫内膜异位症慢性疼痛中的作用和机制预防性</w:t>
            </w:r>
          </w:p>
        </w:tc>
        <w:tc>
          <w:tcPr>
            <w:tcW w:w="1339" w:type="dxa"/>
            <w:vAlign w:val="center"/>
          </w:tcPr>
          <w:p>
            <w:pPr>
              <w:spacing w:line="240" w:lineRule="auto"/>
              <w:jc w:val="center"/>
              <w:rPr>
                <w:rFonts w:ascii="Times New Roman" w:hAnsi="Times New Roman"/>
              </w:rPr>
            </w:pPr>
            <w:r>
              <w:rPr>
                <w:rFonts w:ascii="Times New Roman" w:hAnsi="Times New Roman"/>
              </w:rPr>
              <w:t>罗</w:t>
            </w:r>
            <w:r>
              <w:rPr>
                <w:rFonts w:hint="eastAsia" w:ascii="Times New Roman" w:hAnsi="Times New Roman"/>
              </w:rPr>
              <w:t xml:space="preserve">  </w:t>
            </w:r>
            <w:r>
              <w:rPr>
                <w:rFonts w:ascii="Times New Roman" w:hAnsi="Times New Roman"/>
              </w:rPr>
              <w:t>昕</w:t>
            </w:r>
          </w:p>
        </w:tc>
        <w:tc>
          <w:tcPr>
            <w:tcW w:w="1022" w:type="dxa"/>
            <w:vMerge w:val="continue"/>
          </w:tcPr>
          <w:p>
            <w:pPr>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 w:type="dxa"/>
            <w:vAlign w:val="center"/>
          </w:tcPr>
          <w:p>
            <w:pPr>
              <w:spacing w:line="240" w:lineRule="auto"/>
              <w:jc w:val="left"/>
              <w:rPr>
                <w:rFonts w:ascii="Times New Roman" w:hAnsi="Times New Roman"/>
              </w:rPr>
            </w:pPr>
            <w:r>
              <w:rPr>
                <w:rFonts w:hint="eastAsia" w:ascii="Times New Roman" w:hAnsi="Times New Roman"/>
              </w:rPr>
              <w:t>11:40-12:05</w:t>
            </w:r>
          </w:p>
        </w:tc>
        <w:tc>
          <w:tcPr>
            <w:tcW w:w="5247" w:type="dxa"/>
            <w:vAlign w:val="center"/>
          </w:tcPr>
          <w:p>
            <w:pPr>
              <w:spacing w:line="240" w:lineRule="auto"/>
              <w:jc w:val="left"/>
              <w:rPr>
                <w:rFonts w:ascii="Times New Roman" w:hAnsi="Times New Roman"/>
              </w:rPr>
            </w:pPr>
            <w:r>
              <w:rPr>
                <w:rFonts w:hint="eastAsia"/>
              </w:rPr>
              <w:t>复活性电流和疼痛</w:t>
            </w:r>
            <w:r>
              <w:rPr>
                <w:rFonts w:hint="eastAsia" w:ascii="Times New Roman" w:hAnsi="Times New Roman"/>
              </w:rPr>
              <w:t>（Resurgent currents and pain）</w:t>
            </w:r>
          </w:p>
        </w:tc>
        <w:tc>
          <w:tcPr>
            <w:tcW w:w="1339" w:type="dxa"/>
            <w:vAlign w:val="center"/>
          </w:tcPr>
          <w:p>
            <w:pPr>
              <w:spacing w:line="240" w:lineRule="auto"/>
              <w:jc w:val="center"/>
              <w:rPr>
                <w:rFonts w:ascii="Times New Roman" w:hAnsi="Times New Roman"/>
              </w:rPr>
            </w:pPr>
            <w:r>
              <w:rPr>
                <w:rFonts w:ascii="Times New Roman" w:hAnsi="Times New Roman"/>
              </w:rPr>
              <w:t>谭智勇</w:t>
            </w:r>
          </w:p>
        </w:tc>
        <w:tc>
          <w:tcPr>
            <w:tcW w:w="1022" w:type="dxa"/>
            <w:vMerge w:val="continue"/>
          </w:tcPr>
          <w:p>
            <w:pPr>
              <w:spacing w:line="240" w:lineRule="auto"/>
              <w:rPr>
                <w:rFonts w:ascii="Times New Roman" w:hAnsi="Times New Roman"/>
              </w:rPr>
            </w:pPr>
          </w:p>
        </w:tc>
      </w:tr>
    </w:tbl>
    <w:p>
      <w:pPr>
        <w:pStyle w:val="12"/>
        <w:spacing w:line="360" w:lineRule="auto"/>
        <w:rPr>
          <w:rFonts w:hAnsi="宋体"/>
          <w:color w:val="auto"/>
          <w:sz w:val="28"/>
          <w:szCs w:val="28"/>
        </w:rPr>
      </w:pPr>
      <w:r>
        <w:rPr>
          <w:rFonts w:hint="eastAsia" w:hAnsi="宋体"/>
          <w:b/>
          <w:color w:val="auto"/>
          <w:sz w:val="28"/>
          <w:szCs w:val="28"/>
          <w:lang w:val="en-US" w:eastAsia="zh-CN"/>
        </w:rPr>
        <w:t>六</w:t>
      </w:r>
      <w:r>
        <w:rPr>
          <w:rFonts w:hint="eastAsia" w:hAnsi="宋体"/>
          <w:b/>
          <w:color w:val="auto"/>
          <w:sz w:val="28"/>
          <w:szCs w:val="28"/>
        </w:rPr>
        <w:t>、会议注册费</w:t>
      </w:r>
    </w:p>
    <w:tbl>
      <w:tblPr>
        <w:tblStyle w:val="6"/>
        <w:tblW w:w="8251"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5"/>
        <w:gridCol w:w="3200"/>
        <w:gridCol w:w="35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trPr>
        <w:tc>
          <w:tcPr>
            <w:tcW w:w="1535" w:type="dxa"/>
          </w:tcPr>
          <w:p>
            <w:pPr>
              <w:pStyle w:val="12"/>
              <w:spacing w:line="360" w:lineRule="auto"/>
              <w:ind w:left="25" w:leftChars="12"/>
              <w:jc w:val="center"/>
              <w:rPr>
                <w:rFonts w:hAnsi="宋体"/>
                <w:color w:val="auto"/>
                <w:sz w:val="24"/>
                <w:szCs w:val="24"/>
              </w:rPr>
            </w:pPr>
            <w:r>
              <w:rPr>
                <w:rFonts w:hint="eastAsia" w:hAnsi="宋体"/>
                <w:color w:val="auto"/>
                <w:sz w:val="24"/>
                <w:szCs w:val="24"/>
              </w:rPr>
              <w:t>参会类型</w:t>
            </w:r>
          </w:p>
        </w:tc>
        <w:tc>
          <w:tcPr>
            <w:tcW w:w="3200" w:type="dxa"/>
          </w:tcPr>
          <w:p>
            <w:pPr>
              <w:pStyle w:val="12"/>
              <w:spacing w:line="360" w:lineRule="auto"/>
              <w:ind w:left="25" w:leftChars="12"/>
              <w:jc w:val="center"/>
              <w:rPr>
                <w:rFonts w:hAnsi="宋体"/>
                <w:color w:val="auto"/>
                <w:sz w:val="24"/>
                <w:szCs w:val="24"/>
              </w:rPr>
            </w:pPr>
            <w:r>
              <w:rPr>
                <w:rFonts w:hint="eastAsia" w:hAnsi="宋体"/>
                <w:color w:val="auto"/>
                <w:sz w:val="24"/>
                <w:szCs w:val="24"/>
              </w:rPr>
              <w:t>2023年9月15日前</w:t>
            </w:r>
          </w:p>
        </w:tc>
        <w:tc>
          <w:tcPr>
            <w:tcW w:w="3516" w:type="dxa"/>
          </w:tcPr>
          <w:p>
            <w:pPr>
              <w:pStyle w:val="12"/>
              <w:spacing w:line="360" w:lineRule="auto"/>
              <w:ind w:left="25" w:leftChars="12"/>
              <w:jc w:val="center"/>
              <w:rPr>
                <w:rFonts w:hAnsi="宋体"/>
                <w:color w:val="auto"/>
                <w:sz w:val="24"/>
                <w:szCs w:val="24"/>
              </w:rPr>
            </w:pPr>
            <w:r>
              <w:rPr>
                <w:rFonts w:hint="eastAsia" w:hAnsi="宋体"/>
                <w:color w:val="auto"/>
                <w:sz w:val="24"/>
                <w:szCs w:val="24"/>
              </w:rPr>
              <w:t>2023年9月16号后(现场注册)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1535" w:type="dxa"/>
          </w:tcPr>
          <w:p>
            <w:pPr>
              <w:pStyle w:val="12"/>
              <w:spacing w:line="360" w:lineRule="auto"/>
              <w:ind w:left="25" w:leftChars="12"/>
              <w:jc w:val="center"/>
              <w:rPr>
                <w:rFonts w:hAnsi="宋体"/>
                <w:color w:val="auto"/>
                <w:sz w:val="24"/>
                <w:szCs w:val="24"/>
              </w:rPr>
            </w:pPr>
            <w:r>
              <w:rPr>
                <w:rFonts w:hint="eastAsia" w:hAnsi="宋体"/>
                <w:color w:val="auto"/>
                <w:sz w:val="24"/>
                <w:szCs w:val="24"/>
              </w:rPr>
              <w:t>会员</w:t>
            </w:r>
          </w:p>
        </w:tc>
        <w:tc>
          <w:tcPr>
            <w:tcW w:w="3200" w:type="dxa"/>
          </w:tcPr>
          <w:p>
            <w:pPr>
              <w:pStyle w:val="12"/>
              <w:spacing w:line="360" w:lineRule="auto"/>
              <w:ind w:left="25" w:leftChars="12"/>
              <w:jc w:val="center"/>
              <w:rPr>
                <w:rFonts w:hAnsi="宋体"/>
                <w:color w:val="auto"/>
                <w:sz w:val="24"/>
                <w:szCs w:val="24"/>
              </w:rPr>
            </w:pPr>
            <w:r>
              <w:rPr>
                <w:rFonts w:hint="eastAsia" w:hAnsi="宋体"/>
                <w:color w:val="auto"/>
                <w:sz w:val="24"/>
                <w:szCs w:val="24"/>
              </w:rPr>
              <w:t>1200元</w:t>
            </w:r>
          </w:p>
        </w:tc>
        <w:tc>
          <w:tcPr>
            <w:tcW w:w="3516" w:type="dxa"/>
          </w:tcPr>
          <w:p>
            <w:pPr>
              <w:pStyle w:val="12"/>
              <w:spacing w:line="360" w:lineRule="auto"/>
              <w:ind w:left="25" w:leftChars="12"/>
              <w:jc w:val="center"/>
              <w:rPr>
                <w:rFonts w:hAnsi="宋体"/>
                <w:color w:val="auto"/>
                <w:sz w:val="24"/>
                <w:szCs w:val="24"/>
              </w:rPr>
            </w:pPr>
            <w:r>
              <w:rPr>
                <w:rFonts w:hint="eastAsia" w:hAnsi="宋体"/>
                <w:color w:val="auto"/>
                <w:sz w:val="24"/>
                <w:szCs w:val="24"/>
              </w:rPr>
              <w:t>1400元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1535" w:type="dxa"/>
          </w:tcPr>
          <w:p>
            <w:pPr>
              <w:pStyle w:val="12"/>
              <w:spacing w:line="360" w:lineRule="auto"/>
              <w:ind w:left="25" w:leftChars="12"/>
              <w:jc w:val="center"/>
              <w:rPr>
                <w:rFonts w:hAnsi="宋体"/>
                <w:color w:val="auto"/>
                <w:sz w:val="24"/>
                <w:szCs w:val="24"/>
              </w:rPr>
            </w:pPr>
            <w:r>
              <w:rPr>
                <w:rFonts w:hint="eastAsia" w:hAnsi="宋体"/>
                <w:color w:val="auto"/>
                <w:sz w:val="24"/>
                <w:szCs w:val="24"/>
              </w:rPr>
              <w:t>非会员</w:t>
            </w:r>
          </w:p>
        </w:tc>
        <w:tc>
          <w:tcPr>
            <w:tcW w:w="3200" w:type="dxa"/>
          </w:tcPr>
          <w:p>
            <w:pPr>
              <w:pStyle w:val="12"/>
              <w:spacing w:line="360" w:lineRule="auto"/>
              <w:ind w:left="25" w:leftChars="12"/>
              <w:jc w:val="center"/>
              <w:rPr>
                <w:rFonts w:hAnsi="宋体"/>
                <w:color w:val="auto"/>
                <w:sz w:val="24"/>
                <w:szCs w:val="24"/>
              </w:rPr>
            </w:pPr>
            <w:r>
              <w:rPr>
                <w:rFonts w:hint="eastAsia" w:hAnsi="宋体"/>
                <w:color w:val="auto"/>
                <w:sz w:val="24"/>
                <w:szCs w:val="24"/>
              </w:rPr>
              <w:t>1600元</w:t>
            </w:r>
          </w:p>
        </w:tc>
        <w:tc>
          <w:tcPr>
            <w:tcW w:w="3516" w:type="dxa"/>
          </w:tcPr>
          <w:p>
            <w:pPr>
              <w:pStyle w:val="12"/>
              <w:spacing w:line="360" w:lineRule="auto"/>
              <w:ind w:left="25" w:leftChars="12"/>
              <w:jc w:val="center"/>
              <w:rPr>
                <w:rFonts w:hAnsi="宋体"/>
                <w:color w:val="auto"/>
                <w:sz w:val="24"/>
                <w:szCs w:val="24"/>
              </w:rPr>
            </w:pPr>
            <w:r>
              <w:rPr>
                <w:rFonts w:hint="eastAsia" w:hAnsi="宋体"/>
                <w:color w:val="auto"/>
                <w:sz w:val="24"/>
                <w:szCs w:val="24"/>
              </w:rPr>
              <w:t>1800元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1535" w:type="dxa"/>
          </w:tcPr>
          <w:p>
            <w:pPr>
              <w:pStyle w:val="12"/>
              <w:spacing w:line="360" w:lineRule="auto"/>
              <w:ind w:left="25" w:leftChars="12"/>
              <w:jc w:val="center"/>
              <w:rPr>
                <w:rFonts w:hAnsi="宋体"/>
                <w:color w:val="auto"/>
                <w:sz w:val="24"/>
                <w:szCs w:val="24"/>
              </w:rPr>
            </w:pPr>
            <w:r>
              <w:rPr>
                <w:rFonts w:hint="eastAsia" w:hAnsi="宋体"/>
                <w:color w:val="auto"/>
                <w:sz w:val="24"/>
                <w:szCs w:val="24"/>
              </w:rPr>
              <w:t>研究生</w:t>
            </w:r>
          </w:p>
        </w:tc>
        <w:tc>
          <w:tcPr>
            <w:tcW w:w="3200" w:type="dxa"/>
          </w:tcPr>
          <w:p>
            <w:pPr>
              <w:pStyle w:val="12"/>
              <w:spacing w:line="360" w:lineRule="auto"/>
              <w:ind w:left="25" w:leftChars="12"/>
              <w:jc w:val="center"/>
              <w:rPr>
                <w:rFonts w:hAnsi="宋体"/>
                <w:color w:val="auto"/>
                <w:sz w:val="24"/>
                <w:szCs w:val="24"/>
              </w:rPr>
            </w:pPr>
            <w:r>
              <w:rPr>
                <w:rFonts w:hint="eastAsia" w:hAnsi="宋体"/>
                <w:color w:val="auto"/>
                <w:sz w:val="24"/>
                <w:szCs w:val="24"/>
              </w:rPr>
              <w:t>1000元</w:t>
            </w:r>
          </w:p>
        </w:tc>
        <w:tc>
          <w:tcPr>
            <w:tcW w:w="3516" w:type="dxa"/>
          </w:tcPr>
          <w:p>
            <w:pPr>
              <w:pStyle w:val="12"/>
              <w:spacing w:line="360" w:lineRule="auto"/>
              <w:ind w:left="25" w:leftChars="12"/>
              <w:jc w:val="center"/>
              <w:rPr>
                <w:rFonts w:hAnsi="宋体"/>
                <w:color w:val="auto"/>
                <w:sz w:val="24"/>
                <w:szCs w:val="24"/>
              </w:rPr>
            </w:pPr>
            <w:r>
              <w:rPr>
                <w:rFonts w:hint="eastAsia" w:hAnsi="宋体"/>
                <w:color w:val="auto"/>
                <w:sz w:val="24"/>
                <w:szCs w:val="24"/>
              </w:rPr>
              <w:t>1200元</w:t>
            </w:r>
          </w:p>
        </w:tc>
      </w:tr>
    </w:tbl>
    <w:p>
      <w:pPr>
        <w:pStyle w:val="12"/>
        <w:spacing w:line="360" w:lineRule="auto"/>
        <w:rPr>
          <w:rFonts w:hAnsi="宋体"/>
          <w:color w:val="auto"/>
          <w:sz w:val="24"/>
          <w:szCs w:val="24"/>
        </w:rPr>
      </w:pPr>
      <w:r>
        <w:rPr>
          <w:rFonts w:hint="eastAsia" w:hAnsi="宋体"/>
          <w:color w:val="auto"/>
          <w:sz w:val="24"/>
          <w:szCs w:val="24"/>
        </w:rPr>
        <w:t>注：</w:t>
      </w:r>
    </w:p>
    <w:p>
      <w:pPr>
        <w:pStyle w:val="12"/>
        <w:spacing w:line="360" w:lineRule="auto"/>
        <w:rPr>
          <w:rFonts w:hAnsi="宋体"/>
          <w:color w:val="auto"/>
          <w:sz w:val="24"/>
          <w:szCs w:val="24"/>
        </w:rPr>
      </w:pPr>
      <w:r>
        <w:rPr>
          <w:rFonts w:hint="eastAsia" w:hAnsi="宋体"/>
          <w:color w:val="auto"/>
          <w:sz w:val="24"/>
          <w:szCs w:val="24"/>
        </w:rPr>
        <w:t>1、以上费用包括会务费、资料费和餐费。差旅费、住宿费自理，请按规定回单位报销；</w:t>
      </w:r>
    </w:p>
    <w:p>
      <w:pPr>
        <w:pStyle w:val="12"/>
        <w:spacing w:line="360" w:lineRule="auto"/>
        <w:rPr>
          <w:rFonts w:hAnsi="宋体"/>
          <w:color w:val="auto"/>
          <w:sz w:val="24"/>
          <w:szCs w:val="24"/>
        </w:rPr>
      </w:pPr>
      <w:r>
        <w:rPr>
          <w:rFonts w:hint="eastAsia" w:hAnsi="宋体"/>
          <w:color w:val="auto"/>
          <w:sz w:val="24"/>
          <w:szCs w:val="24"/>
        </w:rPr>
        <w:t>2、会议采用在线注册交费，在线注册截止日期：2023年9月15日</w:t>
      </w:r>
    </w:p>
    <w:p>
      <w:pPr>
        <w:pStyle w:val="12"/>
        <w:spacing w:line="360" w:lineRule="auto"/>
        <w:rPr>
          <w:rFonts w:hAnsi="宋体"/>
          <w:color w:val="auto"/>
          <w:sz w:val="24"/>
          <w:szCs w:val="24"/>
        </w:rPr>
      </w:pPr>
      <w:r>
        <w:rPr>
          <w:rFonts w:hint="eastAsia" w:hAnsi="宋体"/>
          <w:color w:val="auto"/>
          <w:sz w:val="24"/>
          <w:szCs w:val="24"/>
        </w:rPr>
        <w:t>3、取消参会：9月15日前取消参会，退100%注册费；9月30日前取消参会，退50％会议注册费；10月1日后取消参会，不予受理退费申请。</w:t>
      </w:r>
    </w:p>
    <w:p>
      <w:pPr>
        <w:pStyle w:val="12"/>
        <w:spacing w:line="360" w:lineRule="auto"/>
        <w:rPr>
          <w:rFonts w:hAnsi="宋体"/>
          <w:color w:val="auto"/>
          <w:sz w:val="24"/>
          <w:szCs w:val="24"/>
        </w:rPr>
      </w:pPr>
      <w:r>
        <w:rPr>
          <w:rFonts w:hint="eastAsia" w:hAnsi="宋体"/>
          <w:color w:val="auto"/>
          <w:sz w:val="24"/>
          <w:szCs w:val="24"/>
        </w:rPr>
        <w:t>4、支付方式：</w:t>
      </w:r>
    </w:p>
    <w:p>
      <w:pPr>
        <w:pStyle w:val="12"/>
        <w:spacing w:line="360" w:lineRule="auto"/>
        <w:rPr>
          <w:rFonts w:hAnsi="宋体"/>
          <w:color w:val="auto"/>
          <w:sz w:val="24"/>
          <w:szCs w:val="24"/>
        </w:rPr>
      </w:pPr>
      <w:r>
        <w:rPr>
          <w:rFonts w:hint="eastAsia" w:hAnsi="宋体"/>
          <w:color w:val="auto"/>
          <w:sz w:val="24"/>
          <w:szCs w:val="24"/>
        </w:rPr>
        <w:t>（1）鼓励参会代表通过网上银行或手机银行转账汇款，信息如下：</w:t>
      </w:r>
    </w:p>
    <w:p>
      <w:pPr>
        <w:pStyle w:val="12"/>
        <w:spacing w:line="360" w:lineRule="auto"/>
        <w:rPr>
          <w:rFonts w:hAnsi="宋体"/>
          <w:color w:val="auto"/>
          <w:sz w:val="24"/>
          <w:szCs w:val="24"/>
        </w:rPr>
      </w:pPr>
      <w:r>
        <w:rPr>
          <w:rFonts w:hint="eastAsia" w:hAnsi="宋体"/>
          <w:color w:val="auto"/>
          <w:sz w:val="24"/>
          <w:szCs w:val="24"/>
        </w:rPr>
        <w:t>账户名称：中国生理学会</w:t>
      </w:r>
    </w:p>
    <w:p>
      <w:pPr>
        <w:pStyle w:val="12"/>
        <w:spacing w:line="360" w:lineRule="auto"/>
        <w:rPr>
          <w:rFonts w:hAnsi="宋体"/>
          <w:color w:val="auto"/>
          <w:sz w:val="24"/>
          <w:szCs w:val="24"/>
        </w:rPr>
      </w:pPr>
      <w:r>
        <w:rPr>
          <w:rFonts w:hint="eastAsia" w:hAnsi="宋体"/>
          <w:color w:val="auto"/>
          <w:sz w:val="24"/>
          <w:szCs w:val="24"/>
        </w:rPr>
        <w:t>账号：0200004109014480653</w:t>
      </w:r>
    </w:p>
    <w:p>
      <w:pPr>
        <w:pStyle w:val="12"/>
        <w:spacing w:line="360" w:lineRule="auto"/>
        <w:rPr>
          <w:rFonts w:hAnsi="宋体"/>
          <w:color w:val="auto"/>
          <w:sz w:val="24"/>
          <w:szCs w:val="24"/>
        </w:rPr>
      </w:pPr>
      <w:r>
        <w:rPr>
          <w:rFonts w:hint="eastAsia" w:hAnsi="宋体"/>
          <w:color w:val="auto"/>
          <w:sz w:val="24"/>
          <w:szCs w:val="24"/>
        </w:rPr>
        <w:t>开户行：中国工商银行北京东四支行</w:t>
      </w:r>
    </w:p>
    <w:p>
      <w:pPr>
        <w:pStyle w:val="12"/>
        <w:spacing w:line="360" w:lineRule="auto"/>
        <w:rPr>
          <w:rFonts w:hAnsi="宋体"/>
          <w:color w:val="auto"/>
          <w:sz w:val="24"/>
          <w:szCs w:val="24"/>
        </w:rPr>
      </w:pPr>
      <w:r>
        <w:rPr>
          <w:rFonts w:hint="eastAsia" w:hAnsi="宋体"/>
          <w:color w:val="auto"/>
          <w:sz w:val="24"/>
          <w:szCs w:val="24"/>
        </w:rPr>
        <w:t>缴费时请注明：“姓名+南通疼痛会”，便于学会优先核实。</w:t>
      </w:r>
    </w:p>
    <w:p>
      <w:pPr>
        <w:pStyle w:val="12"/>
        <w:spacing w:line="360" w:lineRule="auto"/>
        <w:rPr>
          <w:rFonts w:hAnsi="宋体"/>
          <w:color w:val="auto"/>
          <w:sz w:val="24"/>
          <w:szCs w:val="24"/>
        </w:rPr>
      </w:pPr>
      <w:r>
        <w:rPr>
          <w:rFonts w:hint="eastAsia" w:hAnsi="宋体"/>
          <w:color w:val="auto"/>
          <w:sz w:val="24"/>
          <w:szCs w:val="24"/>
        </w:rPr>
        <w:t>（2）若转账不方便，也可通过微信扫描二维码支付（见附件1）</w:t>
      </w:r>
    </w:p>
    <w:p>
      <w:pPr>
        <w:pStyle w:val="12"/>
        <w:spacing w:line="360" w:lineRule="auto"/>
        <w:rPr>
          <w:rFonts w:hAnsi="宋体"/>
          <w:color w:val="auto"/>
          <w:sz w:val="24"/>
          <w:szCs w:val="24"/>
        </w:rPr>
      </w:pPr>
      <w:r>
        <w:rPr>
          <w:rFonts w:hint="eastAsia" w:hAnsi="宋体"/>
          <w:color w:val="auto"/>
          <w:sz w:val="24"/>
          <w:szCs w:val="24"/>
        </w:rPr>
        <w:t>通过二维码缴费成功后，请将参会代表姓名+会议名称+带有缴费日期的截图信息发送邮件给学会的负责老师：</w:t>
      </w:r>
      <w:r>
        <w:rPr>
          <w:rFonts w:hint="eastAsia" w:hAnsi="宋体"/>
          <w:color w:val="0000FF"/>
          <w:sz w:val="24"/>
          <w:szCs w:val="24"/>
          <w:u w:val="single"/>
        </w:rPr>
        <w:t>treasure@caps-china.org.cn</w:t>
      </w:r>
      <w:r>
        <w:rPr>
          <w:rFonts w:hint="eastAsia" w:hAnsi="宋体"/>
          <w:color w:val="auto"/>
          <w:sz w:val="24"/>
          <w:szCs w:val="24"/>
        </w:rPr>
        <w:t>。</w:t>
      </w:r>
    </w:p>
    <w:p>
      <w:pPr>
        <w:pStyle w:val="12"/>
        <w:spacing w:line="360" w:lineRule="auto"/>
        <w:rPr>
          <w:rFonts w:hAnsi="宋体"/>
          <w:color w:val="auto"/>
          <w:sz w:val="24"/>
          <w:szCs w:val="24"/>
        </w:rPr>
      </w:pPr>
      <w:r>
        <w:rPr>
          <w:rFonts w:hint="eastAsia" w:hAnsi="宋体"/>
          <w:color w:val="auto"/>
          <w:sz w:val="24"/>
          <w:szCs w:val="24"/>
        </w:rPr>
        <w:t>发票：默认开具电子发票，会后一个月内完成开具并发送至注册缴费邮箱。</w:t>
      </w:r>
    </w:p>
    <w:p>
      <w:pPr>
        <w:pStyle w:val="12"/>
        <w:spacing w:line="360" w:lineRule="auto"/>
        <w:rPr>
          <w:rFonts w:hAnsi="宋体"/>
          <w:b/>
          <w:color w:val="auto"/>
          <w:sz w:val="28"/>
          <w:szCs w:val="28"/>
        </w:rPr>
      </w:pPr>
      <w:r>
        <w:rPr>
          <w:rFonts w:hint="eastAsia" w:hAnsi="宋体"/>
          <w:b/>
          <w:color w:val="auto"/>
          <w:sz w:val="28"/>
          <w:szCs w:val="28"/>
          <w:lang w:val="en-US" w:eastAsia="zh-CN"/>
        </w:rPr>
        <w:t>七</w:t>
      </w:r>
      <w:r>
        <w:rPr>
          <w:rFonts w:hint="eastAsia" w:hAnsi="宋体"/>
          <w:b/>
          <w:color w:val="auto"/>
          <w:sz w:val="28"/>
          <w:szCs w:val="28"/>
        </w:rPr>
        <w:t>、会议食宿及交通安排</w:t>
      </w:r>
    </w:p>
    <w:p>
      <w:pPr>
        <w:pStyle w:val="12"/>
        <w:spacing w:line="360" w:lineRule="auto"/>
        <w:rPr>
          <w:rFonts w:hAnsi="宋体"/>
          <w:color w:val="auto"/>
          <w:sz w:val="24"/>
          <w:szCs w:val="24"/>
        </w:rPr>
      </w:pPr>
      <w:r>
        <w:rPr>
          <w:rFonts w:hint="eastAsia" w:hAnsi="宋体"/>
          <w:color w:val="auto"/>
          <w:sz w:val="24"/>
          <w:szCs w:val="24"/>
        </w:rPr>
        <w:t>用餐:会议期间的用餐由会议统一安排</w:t>
      </w:r>
    </w:p>
    <w:p>
      <w:pPr>
        <w:pStyle w:val="12"/>
        <w:spacing w:line="360" w:lineRule="auto"/>
        <w:rPr>
          <w:rFonts w:hAnsi="宋体"/>
          <w:color w:val="auto"/>
          <w:sz w:val="24"/>
          <w:szCs w:val="24"/>
        </w:rPr>
      </w:pPr>
      <w:r>
        <w:rPr>
          <w:rFonts w:hint="eastAsia" w:hAnsi="宋体"/>
          <w:color w:val="auto"/>
          <w:sz w:val="24"/>
          <w:szCs w:val="24"/>
        </w:rPr>
        <w:t>住宿:南通五洲皇冠酒店（南通市崇川区崇州大道60号）</w:t>
      </w:r>
    </w:p>
    <w:p>
      <w:pPr>
        <w:pStyle w:val="12"/>
        <w:spacing w:line="360" w:lineRule="auto"/>
        <w:rPr>
          <w:rFonts w:hAnsi="宋体"/>
          <w:color w:val="auto"/>
          <w:sz w:val="24"/>
          <w:szCs w:val="24"/>
        </w:rPr>
      </w:pPr>
      <w:r>
        <w:rPr>
          <w:rFonts w:hint="eastAsia" w:hAnsi="宋体"/>
          <w:color w:val="auto"/>
          <w:sz w:val="24"/>
          <w:szCs w:val="24"/>
        </w:rPr>
        <w:t>商务大床/双床：单早360元；双早428元</w:t>
      </w:r>
    </w:p>
    <w:p>
      <w:pPr>
        <w:pStyle w:val="12"/>
        <w:spacing w:line="360" w:lineRule="auto"/>
        <w:rPr>
          <w:rFonts w:hAnsi="宋体"/>
          <w:color w:val="auto"/>
          <w:sz w:val="24"/>
          <w:szCs w:val="24"/>
        </w:rPr>
      </w:pPr>
      <w:r>
        <w:rPr>
          <w:rFonts w:hint="eastAsia" w:hAnsi="宋体"/>
          <w:color w:val="auto"/>
          <w:sz w:val="24"/>
          <w:szCs w:val="24"/>
        </w:rPr>
        <w:t>豪华大床/双床：单早490元；双早558元</w:t>
      </w:r>
    </w:p>
    <w:p>
      <w:pPr>
        <w:pStyle w:val="12"/>
        <w:spacing w:line="360" w:lineRule="auto"/>
        <w:rPr>
          <w:rFonts w:hAnsi="宋体"/>
          <w:color w:val="auto"/>
          <w:sz w:val="28"/>
          <w:szCs w:val="28"/>
        </w:rPr>
      </w:pPr>
      <w:r>
        <w:rPr>
          <w:rFonts w:hint="eastAsia" w:hAnsi="宋体"/>
          <w:color w:val="auto"/>
          <w:sz w:val="24"/>
          <w:szCs w:val="24"/>
        </w:rPr>
        <w:t>预定方式：欲参加会议的老师同学，请扫描以下二维码填写相关信息，以便尽早预定酒店，以确保优惠价格（请尽量在7月15号之前）。</w:t>
      </w:r>
    </w:p>
    <w:p>
      <w:pPr>
        <w:pStyle w:val="12"/>
        <w:spacing w:line="360" w:lineRule="auto"/>
        <w:jc w:val="center"/>
        <w:rPr>
          <w:rFonts w:hAnsi="宋体"/>
          <w:color w:val="auto"/>
          <w:sz w:val="28"/>
          <w:szCs w:val="28"/>
        </w:rPr>
      </w:pPr>
      <w:r>
        <w:rPr>
          <w:rFonts w:hint="eastAsia" w:hAnsi="宋体"/>
          <w:color w:val="auto"/>
          <w:sz w:val="28"/>
          <w:szCs w:val="28"/>
        </w:rPr>
        <w:drawing>
          <wp:inline distT="0" distB="0" distL="0" distR="0">
            <wp:extent cx="1473200" cy="1443990"/>
            <wp:effectExtent l="0" t="0" r="0" b="3810"/>
            <wp:docPr id="13574893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89385" name="图片 2"/>
                    <pic:cNvPicPr>
                      <a:picLocks noChangeAspect="1" noChangeArrowheads="1"/>
                    </pic:cNvPicPr>
                  </pic:nvPicPr>
                  <pic:blipFill>
                    <a:blip r:embed="rId4">
                      <a:extLst>
                        <a:ext uri="{28A0092B-C50C-407E-A947-70E740481C1C}">
                          <a14:useLocalDpi xmlns:a14="http://schemas.microsoft.com/office/drawing/2010/main" val="0"/>
                        </a:ext>
                      </a:extLst>
                    </a:blip>
                    <a:srcRect l="5990" t="7318" r="5403" b="4224"/>
                    <a:stretch>
                      <a:fillRect/>
                    </a:stretch>
                  </pic:blipFill>
                  <pic:spPr>
                    <a:xfrm>
                      <a:off x="0" y="0"/>
                      <a:ext cx="1475760" cy="1446823"/>
                    </a:xfrm>
                    <a:prstGeom prst="rect">
                      <a:avLst/>
                    </a:prstGeom>
                    <a:noFill/>
                    <a:ln>
                      <a:noFill/>
                    </a:ln>
                  </pic:spPr>
                </pic:pic>
              </a:graphicData>
            </a:graphic>
          </wp:inline>
        </w:drawing>
      </w:r>
    </w:p>
    <w:p>
      <w:pPr>
        <w:pStyle w:val="12"/>
        <w:spacing w:line="360" w:lineRule="auto"/>
        <w:rPr>
          <w:rFonts w:hAnsi="宋体"/>
          <w:b/>
          <w:color w:val="auto"/>
          <w:sz w:val="28"/>
          <w:szCs w:val="28"/>
        </w:rPr>
      </w:pPr>
      <w:r>
        <w:rPr>
          <w:rFonts w:hint="eastAsia" w:hAnsi="宋体"/>
          <w:b/>
          <w:color w:val="auto"/>
          <w:sz w:val="28"/>
          <w:szCs w:val="28"/>
          <w:lang w:val="en-US" w:eastAsia="zh-CN"/>
        </w:rPr>
        <w:t>八</w:t>
      </w:r>
      <w:r>
        <w:rPr>
          <w:rFonts w:hint="eastAsia" w:hAnsi="宋体"/>
          <w:b/>
          <w:color w:val="auto"/>
          <w:sz w:val="28"/>
          <w:szCs w:val="28"/>
        </w:rPr>
        <w:t>、会务组联系方式</w:t>
      </w:r>
    </w:p>
    <w:p>
      <w:pPr>
        <w:pStyle w:val="12"/>
        <w:spacing w:line="360" w:lineRule="auto"/>
        <w:rPr>
          <w:rFonts w:hAnsi="宋体"/>
          <w:color w:val="auto"/>
          <w:sz w:val="24"/>
          <w:szCs w:val="24"/>
          <w:u w:val="none"/>
        </w:rPr>
      </w:pPr>
      <w:r>
        <w:rPr>
          <w:rFonts w:hint="eastAsia" w:hAnsi="宋体"/>
          <w:color w:val="auto"/>
          <w:sz w:val="24"/>
          <w:szCs w:val="24"/>
        </w:rPr>
        <w:t>赵林霞</w:t>
      </w:r>
      <w:r>
        <w:rPr>
          <w:rFonts w:hint="eastAsia" w:hAnsi="宋体"/>
          <w:color w:val="auto"/>
          <w:sz w:val="24"/>
          <w:szCs w:val="24"/>
          <w:lang w:val="en-US" w:eastAsia="zh-CN"/>
        </w:rPr>
        <w:t xml:space="preserve">  </w:t>
      </w:r>
      <w:r>
        <w:rPr>
          <w:rFonts w:hint="eastAsia" w:hAnsi="宋体"/>
          <w:color w:val="auto"/>
          <w:sz w:val="24"/>
          <w:szCs w:val="24"/>
        </w:rPr>
        <w:t>电话：13585210983</w:t>
      </w:r>
      <w:r>
        <w:rPr>
          <w:rFonts w:hint="eastAsia" w:hAnsi="宋体"/>
          <w:color w:val="auto"/>
          <w:sz w:val="24"/>
          <w:szCs w:val="24"/>
          <w:lang w:val="en-US" w:eastAsia="zh-CN"/>
        </w:rPr>
        <w:t xml:space="preserve">  </w:t>
      </w:r>
      <w:r>
        <w:rPr>
          <w:rFonts w:hint="eastAsia" w:hAnsi="宋体"/>
          <w:color w:val="auto"/>
          <w:sz w:val="24"/>
          <w:szCs w:val="24"/>
        </w:rPr>
        <w:t>邮箱：</w:t>
      </w:r>
      <w:r>
        <w:rPr>
          <w:rFonts w:hint="eastAsia" w:hAnsi="宋体"/>
          <w:color w:val="0000FF"/>
          <w:sz w:val="24"/>
          <w:szCs w:val="24"/>
          <w:u w:val="none"/>
        </w:rPr>
        <w:t>407446692@qq.com</w:t>
      </w:r>
    </w:p>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张江涛</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电话：18896733225</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邮箱：</w:t>
      </w:r>
      <w:r>
        <w:rPr>
          <w:rFonts w:hint="eastAsia" w:ascii="宋体" w:hAnsi="宋体" w:eastAsia="宋体" w:cs="宋体"/>
          <w:color w:val="0000FF"/>
          <w:kern w:val="0"/>
          <w:sz w:val="24"/>
          <w:szCs w:val="24"/>
        </w:rPr>
        <w:t>zhangjiangtao@ntu.edu.cn</w:t>
      </w:r>
    </w:p>
    <w:p>
      <w:pPr>
        <w:spacing w:line="360" w:lineRule="auto"/>
        <w:jc w:val="right"/>
        <w:rPr>
          <w:rFonts w:ascii="宋体" w:hAnsi="宋体" w:eastAsia="宋体" w:cs="宋体"/>
          <w:sz w:val="24"/>
          <w:szCs w:val="24"/>
        </w:rPr>
      </w:pPr>
    </w:p>
    <w:p>
      <w:pPr>
        <w:spacing w:line="360" w:lineRule="auto"/>
        <w:jc w:val="right"/>
        <w:rPr>
          <w:rFonts w:ascii="宋体" w:hAnsi="宋体" w:eastAsia="宋体" w:cs="宋体"/>
          <w:sz w:val="24"/>
          <w:szCs w:val="24"/>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中国生理学会疼痛转化专业委员会</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2023年</w:t>
      </w:r>
      <w:r>
        <w:rPr>
          <w:rFonts w:ascii="宋体" w:hAnsi="宋体" w:eastAsia="宋体" w:cs="宋体"/>
          <w:sz w:val="24"/>
          <w:szCs w:val="24"/>
        </w:rPr>
        <w:t>9</w:t>
      </w:r>
      <w:r>
        <w:rPr>
          <w:rFonts w:hint="eastAsia" w:ascii="宋体" w:hAnsi="宋体" w:eastAsia="宋体" w:cs="宋体"/>
          <w:sz w:val="24"/>
          <w:szCs w:val="24"/>
        </w:rPr>
        <w:t>月</w:t>
      </w:r>
      <w:r>
        <w:rPr>
          <w:rFonts w:ascii="宋体" w:hAnsi="宋体" w:eastAsia="宋体" w:cs="宋体"/>
          <w:sz w:val="24"/>
          <w:szCs w:val="24"/>
        </w:rPr>
        <w:t>14</w:t>
      </w:r>
      <w:r>
        <w:rPr>
          <w:rFonts w:hint="eastAsia" w:ascii="宋体" w:hAnsi="宋体" w:eastAsia="宋体" w:cs="宋体"/>
          <w:sz w:val="24"/>
          <w:szCs w:val="24"/>
        </w:rPr>
        <w:t>日</w:t>
      </w:r>
    </w:p>
    <w:p>
      <w:pPr>
        <w:spacing w:line="360" w:lineRule="auto"/>
        <w:jc w:val="right"/>
        <w:rPr>
          <w:rFonts w:hint="eastAsia" w:ascii="宋体" w:hAnsi="宋体" w:eastAsia="宋体" w:cs="宋体"/>
          <w:sz w:val="24"/>
          <w:szCs w:val="24"/>
        </w:rPr>
      </w:pPr>
      <w:bookmarkStart w:id="1" w:name="_GoBack"/>
      <w:bookmarkEnd w:id="1"/>
    </w:p>
    <w:p>
      <w:pPr>
        <w:spacing w:line="360" w:lineRule="auto"/>
        <w:rPr>
          <w:rFonts w:ascii="Times New Roman" w:hAnsi="Times New Roman" w:cs="Times New Roman"/>
          <w:sz w:val="28"/>
          <w:szCs w:val="28"/>
        </w:rPr>
      </w:pPr>
      <w:r>
        <w:rPr>
          <w:rFonts w:ascii="Times New Roman" w:hAnsi="Times New Roman" w:cs="Times New Roman"/>
          <w:sz w:val="28"/>
          <w:szCs w:val="28"/>
        </w:rPr>
        <w:t>附件一：</w:t>
      </w:r>
    </w:p>
    <w:p>
      <w:pPr>
        <w:spacing w:line="360" w:lineRule="auto"/>
        <w:jc w:val="center"/>
        <w:rPr>
          <w:rFonts w:ascii="Times New Roman" w:hAnsi="Times New Roman" w:cs="Times New Roman"/>
          <w:sz w:val="28"/>
          <w:szCs w:val="28"/>
        </w:rPr>
      </w:pPr>
      <w:r>
        <w:rPr>
          <w:rFonts w:ascii="Times New Roman" w:hAnsi="Times New Roman" w:cs="Times New Roman"/>
          <w:sz w:val="28"/>
          <w:szCs w:val="28"/>
        </w:rPr>
        <w:drawing>
          <wp:inline distT="0" distB="0" distL="114300" distR="114300">
            <wp:extent cx="2978150" cy="4213225"/>
            <wp:effectExtent l="0" t="0" r="12700" b="15875"/>
            <wp:docPr id="1" name="图片 1" descr="f6171555694b7276ef2f9a64d1aa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171555694b7276ef2f9a64d1aaca3"/>
                    <pic:cNvPicPr>
                      <a:picLocks noChangeAspect="1"/>
                    </pic:cNvPicPr>
                  </pic:nvPicPr>
                  <pic:blipFill>
                    <a:blip r:embed="rId5"/>
                    <a:stretch>
                      <a:fillRect/>
                    </a:stretch>
                  </pic:blipFill>
                  <pic:spPr>
                    <a:xfrm>
                      <a:off x="0" y="0"/>
                      <a:ext cx="2978150" cy="4213225"/>
                    </a:xfrm>
                    <a:prstGeom prst="rect">
                      <a:avLst/>
                    </a:prstGeom>
                  </pic:spPr>
                </pic:pic>
              </a:graphicData>
            </a:graphic>
          </wp:inline>
        </w:drawing>
      </w:r>
    </w:p>
    <w:p>
      <w:pPr>
        <w:spacing w:line="360" w:lineRule="auto"/>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9330F0"/>
    <w:rsid w:val="0002246E"/>
    <w:rsid w:val="00043256"/>
    <w:rsid w:val="000B6357"/>
    <w:rsid w:val="000C490D"/>
    <w:rsid w:val="000E02BA"/>
    <w:rsid w:val="00145486"/>
    <w:rsid w:val="00150D41"/>
    <w:rsid w:val="001772BF"/>
    <w:rsid w:val="001F09FB"/>
    <w:rsid w:val="00210D61"/>
    <w:rsid w:val="002137A7"/>
    <w:rsid w:val="002141E9"/>
    <w:rsid w:val="00231C50"/>
    <w:rsid w:val="00275F66"/>
    <w:rsid w:val="002A50C5"/>
    <w:rsid w:val="002F0190"/>
    <w:rsid w:val="00301B0E"/>
    <w:rsid w:val="00307CAD"/>
    <w:rsid w:val="00326F1A"/>
    <w:rsid w:val="003322EE"/>
    <w:rsid w:val="00352489"/>
    <w:rsid w:val="00372CF0"/>
    <w:rsid w:val="00396B08"/>
    <w:rsid w:val="003A747F"/>
    <w:rsid w:val="003C2628"/>
    <w:rsid w:val="003D0430"/>
    <w:rsid w:val="003D3435"/>
    <w:rsid w:val="003E5643"/>
    <w:rsid w:val="00442426"/>
    <w:rsid w:val="0047402D"/>
    <w:rsid w:val="00481EDF"/>
    <w:rsid w:val="004841B2"/>
    <w:rsid w:val="00493A0D"/>
    <w:rsid w:val="004C0606"/>
    <w:rsid w:val="004D1012"/>
    <w:rsid w:val="004D715B"/>
    <w:rsid w:val="004F42A9"/>
    <w:rsid w:val="00517506"/>
    <w:rsid w:val="005214A8"/>
    <w:rsid w:val="0052482D"/>
    <w:rsid w:val="00560B7A"/>
    <w:rsid w:val="00565B6F"/>
    <w:rsid w:val="005949FF"/>
    <w:rsid w:val="005A539B"/>
    <w:rsid w:val="005A78FD"/>
    <w:rsid w:val="005F55D1"/>
    <w:rsid w:val="00640868"/>
    <w:rsid w:val="00692711"/>
    <w:rsid w:val="00696FCF"/>
    <w:rsid w:val="006B0133"/>
    <w:rsid w:val="006F3F6B"/>
    <w:rsid w:val="0071387D"/>
    <w:rsid w:val="00757D58"/>
    <w:rsid w:val="00792A86"/>
    <w:rsid w:val="00804F7E"/>
    <w:rsid w:val="00870E36"/>
    <w:rsid w:val="0087137B"/>
    <w:rsid w:val="00877637"/>
    <w:rsid w:val="00884DE7"/>
    <w:rsid w:val="008A503F"/>
    <w:rsid w:val="008C03C9"/>
    <w:rsid w:val="008E0CDA"/>
    <w:rsid w:val="00900F32"/>
    <w:rsid w:val="00912BA4"/>
    <w:rsid w:val="0091768B"/>
    <w:rsid w:val="009330F0"/>
    <w:rsid w:val="0093755B"/>
    <w:rsid w:val="009501F1"/>
    <w:rsid w:val="00954C19"/>
    <w:rsid w:val="00955721"/>
    <w:rsid w:val="00960A7D"/>
    <w:rsid w:val="0097378D"/>
    <w:rsid w:val="009B2D4E"/>
    <w:rsid w:val="009B5DF9"/>
    <w:rsid w:val="009B690C"/>
    <w:rsid w:val="009D5792"/>
    <w:rsid w:val="00A05B46"/>
    <w:rsid w:val="00A32798"/>
    <w:rsid w:val="00A92C50"/>
    <w:rsid w:val="00A94E7E"/>
    <w:rsid w:val="00AB2CE8"/>
    <w:rsid w:val="00AE138C"/>
    <w:rsid w:val="00B30BFD"/>
    <w:rsid w:val="00B34116"/>
    <w:rsid w:val="00B4509D"/>
    <w:rsid w:val="00B712EE"/>
    <w:rsid w:val="00BC04ED"/>
    <w:rsid w:val="00BE5195"/>
    <w:rsid w:val="00BF2504"/>
    <w:rsid w:val="00C03868"/>
    <w:rsid w:val="00C070C4"/>
    <w:rsid w:val="00C217EF"/>
    <w:rsid w:val="00C26FAC"/>
    <w:rsid w:val="00C319CC"/>
    <w:rsid w:val="00C553F3"/>
    <w:rsid w:val="00C57907"/>
    <w:rsid w:val="00CB31B3"/>
    <w:rsid w:val="00CC43FA"/>
    <w:rsid w:val="00CD0739"/>
    <w:rsid w:val="00D2278A"/>
    <w:rsid w:val="00D76F10"/>
    <w:rsid w:val="00D847A6"/>
    <w:rsid w:val="00D91525"/>
    <w:rsid w:val="00DA0DDD"/>
    <w:rsid w:val="00DA530E"/>
    <w:rsid w:val="00DA5B89"/>
    <w:rsid w:val="00DE1F14"/>
    <w:rsid w:val="00E41174"/>
    <w:rsid w:val="00E542F8"/>
    <w:rsid w:val="00E60FD0"/>
    <w:rsid w:val="00E94907"/>
    <w:rsid w:val="00F02BEF"/>
    <w:rsid w:val="00F0479B"/>
    <w:rsid w:val="00F128E3"/>
    <w:rsid w:val="00F7763E"/>
    <w:rsid w:val="00F83468"/>
    <w:rsid w:val="00FA5CFE"/>
    <w:rsid w:val="00FB09C0"/>
    <w:rsid w:val="00FC4525"/>
    <w:rsid w:val="00FD4B4F"/>
    <w:rsid w:val="00FD7BBD"/>
    <w:rsid w:val="00FE3CD5"/>
    <w:rsid w:val="1DCD0709"/>
    <w:rsid w:val="210A7443"/>
    <w:rsid w:val="24CD1B5F"/>
    <w:rsid w:val="28CE4A92"/>
    <w:rsid w:val="29714189"/>
    <w:rsid w:val="2D104ACB"/>
    <w:rsid w:val="3322783B"/>
    <w:rsid w:val="39CE4F4A"/>
    <w:rsid w:val="4BDA09B9"/>
    <w:rsid w:val="55552997"/>
    <w:rsid w:val="60B33FD2"/>
    <w:rsid w:val="6BBA29B7"/>
    <w:rsid w:val="6EEB2223"/>
    <w:rsid w:val="75F27075"/>
    <w:rsid w:val="777E7C80"/>
    <w:rsid w:val="79A0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paragraph" w:styleId="16">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4D7-5C49-4B24-ADCB-06A7981F032A}">
  <ds:schemaRefs/>
</ds:datastoreItem>
</file>

<file path=docProps/app.xml><?xml version="1.0" encoding="utf-8"?>
<Properties xmlns="http://schemas.openxmlformats.org/officeDocument/2006/extended-properties" xmlns:vt="http://schemas.openxmlformats.org/officeDocument/2006/docPropsVTypes">
  <Template>Normal</Template>
  <Pages>7</Pages>
  <Words>515</Words>
  <Characters>2940</Characters>
  <Lines>24</Lines>
  <Paragraphs>6</Paragraphs>
  <TotalTime>2</TotalTime>
  <ScaleCrop>false</ScaleCrop>
  <LinksUpToDate>false</LinksUpToDate>
  <CharactersWithSpaces>3449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2023-09-06T02:19:00Z</dcterms:created>
  <dc:creator>Zhang Dream</dc:creator>
  <cp:lastModifiedBy>LenovoL</cp:lastModifiedBy>
  <dcterms:modified xsi:type="dcterms:W3CDTF">2023-09-15T07:25:57Z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FB0F1B44612F467F8D96D126CD3D9E7C_12</vt:lpwstr>
  </property>
</Properties>
</file>